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0B31" w14:textId="34C78356" w:rsidR="004A1BA8" w:rsidRDefault="004A1BA8" w:rsidP="00A51DBB">
      <w:pPr>
        <w:pStyle w:val="Textoindependiente"/>
        <w:rPr>
          <w:rFonts w:ascii="Times New Roman"/>
          <w:sz w:val="20"/>
        </w:rPr>
      </w:pPr>
    </w:p>
    <w:p w14:paraId="3FDC3F7A" w14:textId="77777777" w:rsidR="004A1BA8" w:rsidRDefault="004A1BA8">
      <w:pPr>
        <w:pStyle w:val="Textoindependiente"/>
        <w:rPr>
          <w:rFonts w:ascii="Times New Roman"/>
          <w:sz w:val="20"/>
        </w:rPr>
      </w:pPr>
    </w:p>
    <w:p w14:paraId="7F7BFBB7" w14:textId="77777777" w:rsidR="004A1BA8" w:rsidRDefault="004A1BA8">
      <w:pPr>
        <w:pStyle w:val="Textoindependiente"/>
        <w:rPr>
          <w:rFonts w:ascii="Times New Roman"/>
          <w:sz w:val="20"/>
        </w:rPr>
      </w:pPr>
    </w:p>
    <w:p w14:paraId="527497DC" w14:textId="77777777" w:rsidR="004A1BA8" w:rsidRDefault="004A1BA8">
      <w:pPr>
        <w:pStyle w:val="Textoindependiente"/>
        <w:spacing w:before="1"/>
        <w:rPr>
          <w:rFonts w:ascii="Times New Roman"/>
          <w:sz w:val="21"/>
        </w:rPr>
      </w:pPr>
    </w:p>
    <w:p w14:paraId="5DF2C0D7" w14:textId="61FA6FCD" w:rsidR="004A1BA8" w:rsidRDefault="002275BE">
      <w:pPr>
        <w:pStyle w:val="Ttulo1"/>
        <w:ind w:right="1718"/>
        <w:rPr>
          <w:u w:val="none"/>
        </w:rPr>
      </w:pPr>
      <w:r>
        <w:t xml:space="preserve">ADENDA </w:t>
      </w:r>
      <w:proofErr w:type="spellStart"/>
      <w:r>
        <w:t>N°</w:t>
      </w:r>
      <w:proofErr w:type="spellEnd"/>
      <w:r>
        <w:t xml:space="preserve"> 00</w:t>
      </w:r>
      <w:r w:rsidR="00391AF0">
        <w:t>2</w:t>
      </w:r>
    </w:p>
    <w:p w14:paraId="44DCE3DA" w14:textId="77777777" w:rsidR="004A1BA8" w:rsidRDefault="004A1BA8">
      <w:pPr>
        <w:pStyle w:val="Textoindependiente"/>
        <w:spacing w:before="1"/>
        <w:rPr>
          <w:b/>
          <w:sz w:val="15"/>
        </w:rPr>
      </w:pPr>
    </w:p>
    <w:p w14:paraId="691E03AD" w14:textId="3E83FEEC" w:rsidR="004A1BA8" w:rsidRDefault="002275BE">
      <w:pPr>
        <w:spacing w:before="56"/>
        <w:ind w:left="1880" w:right="1719"/>
        <w:jc w:val="center"/>
        <w:rPr>
          <w:b/>
        </w:rPr>
      </w:pPr>
      <w:r>
        <w:rPr>
          <w:b/>
          <w:u w:val="single"/>
        </w:rPr>
        <w:t xml:space="preserve">Licitación Privada Abierta </w:t>
      </w:r>
      <w:proofErr w:type="spellStart"/>
      <w:r>
        <w:rPr>
          <w:b/>
          <w:u w:val="single"/>
        </w:rPr>
        <w:t>N°</w:t>
      </w:r>
      <w:proofErr w:type="spellEnd"/>
      <w:r>
        <w:rPr>
          <w:b/>
          <w:u w:val="single"/>
        </w:rPr>
        <w:t xml:space="preserve"> 00</w:t>
      </w:r>
      <w:r w:rsidR="00A51DBB">
        <w:rPr>
          <w:b/>
          <w:u w:val="single"/>
        </w:rPr>
        <w:t>5</w:t>
      </w:r>
      <w:r>
        <w:rPr>
          <w:b/>
          <w:u w:val="single"/>
        </w:rPr>
        <w:t xml:space="preserve"> de 2019</w:t>
      </w:r>
    </w:p>
    <w:p w14:paraId="3F7FE9C0" w14:textId="77777777" w:rsidR="004A1BA8" w:rsidRDefault="004A1BA8">
      <w:pPr>
        <w:pStyle w:val="Textoindependiente"/>
        <w:spacing w:before="1"/>
        <w:rPr>
          <w:b/>
          <w:sz w:val="15"/>
        </w:rPr>
      </w:pPr>
    </w:p>
    <w:p w14:paraId="293745CA" w14:textId="77777777" w:rsidR="004A1BA8" w:rsidRDefault="002275BE">
      <w:pPr>
        <w:spacing w:before="56"/>
        <w:ind w:left="1881" w:right="1719"/>
        <w:jc w:val="center"/>
        <w:rPr>
          <w:b/>
        </w:rPr>
      </w:pPr>
      <w:r>
        <w:rPr>
          <w:b/>
          <w:u w:val="single"/>
        </w:rPr>
        <w:t>PATRIMONIO AUTÓNOMO PAREX DOTACIÓN SARAVENA 372</w:t>
      </w:r>
    </w:p>
    <w:p w14:paraId="487D2475" w14:textId="77777777" w:rsidR="004A1BA8" w:rsidRDefault="004A1BA8">
      <w:pPr>
        <w:pStyle w:val="Textoindependiente"/>
        <w:rPr>
          <w:b/>
          <w:sz w:val="20"/>
        </w:rPr>
      </w:pPr>
    </w:p>
    <w:p w14:paraId="03EC80B0" w14:textId="77777777" w:rsidR="004A1BA8" w:rsidRDefault="004A1BA8">
      <w:pPr>
        <w:pStyle w:val="Textoindependiente"/>
        <w:rPr>
          <w:b/>
          <w:sz w:val="20"/>
        </w:rPr>
      </w:pPr>
    </w:p>
    <w:p w14:paraId="23118DCC" w14:textId="77777777" w:rsidR="004A1BA8" w:rsidRDefault="004A1BA8">
      <w:pPr>
        <w:pStyle w:val="Textoindependiente"/>
        <w:spacing w:before="7"/>
        <w:rPr>
          <w:b/>
          <w:sz w:val="16"/>
        </w:rPr>
      </w:pPr>
    </w:p>
    <w:p w14:paraId="17EB874E" w14:textId="6DF882F1" w:rsidR="004A1BA8" w:rsidRDefault="00952D27">
      <w:pPr>
        <w:spacing w:before="1"/>
        <w:ind w:left="282"/>
        <w:jc w:val="both"/>
        <w:rPr>
          <w:b/>
        </w:rPr>
      </w:pPr>
      <w:r w:rsidRPr="00EA3321">
        <w:rPr>
          <w:rFonts w:asciiTheme="minorHAnsi" w:hAnsiTheme="minorHAnsi" w:cstheme="minorHAnsi"/>
          <w:b/>
          <w:lang w:val="es-CO"/>
        </w:rPr>
        <w:t xml:space="preserve">PAREX </w:t>
      </w:r>
      <w:r w:rsidRPr="00EA3321">
        <w:rPr>
          <w:rFonts w:asciiTheme="minorHAnsi" w:hAnsiTheme="minorHAnsi" w:cs="Segoe UI"/>
          <w:b/>
          <w:bCs/>
          <w:lang w:val="es-CO"/>
        </w:rPr>
        <w:t>RESOURCES</w:t>
      </w:r>
      <w:r w:rsidRPr="00EA3321">
        <w:rPr>
          <w:rFonts w:asciiTheme="minorHAnsi" w:hAnsiTheme="minorHAnsi" w:cstheme="minorHAnsi"/>
          <w:b/>
          <w:lang w:val="es-CO"/>
        </w:rPr>
        <w:t xml:space="preserve"> COLOMBIA LTD. SUCURSAL, </w:t>
      </w:r>
      <w:r w:rsidRPr="00EA3321">
        <w:rPr>
          <w:rFonts w:asciiTheme="minorHAnsi" w:hAnsiTheme="minorHAnsi" w:cstheme="minorHAnsi"/>
          <w:lang w:val="es-CO"/>
        </w:rPr>
        <w:t>como gerente del proyecto de dotación de aulas en instituciones educativas de los municipios de Tame Saravena y Arauca en el departamento de Arauca BPIN20181719000372</w:t>
      </w:r>
      <w:r w:rsidR="002275BE">
        <w:t>”,</w:t>
      </w:r>
      <w:r w:rsidR="002275BE">
        <w:rPr>
          <w:spacing w:val="43"/>
        </w:rPr>
        <w:t xml:space="preserve"> </w:t>
      </w:r>
      <w:r w:rsidR="002275BE">
        <w:t>en</w:t>
      </w:r>
      <w:r w:rsidR="002275BE">
        <w:rPr>
          <w:spacing w:val="42"/>
        </w:rPr>
        <w:t xml:space="preserve"> </w:t>
      </w:r>
      <w:r w:rsidR="002275BE">
        <w:t>el</w:t>
      </w:r>
      <w:r w:rsidR="002275BE">
        <w:rPr>
          <w:spacing w:val="40"/>
        </w:rPr>
        <w:t xml:space="preserve"> </w:t>
      </w:r>
      <w:r w:rsidR="002275BE">
        <w:t>marco</w:t>
      </w:r>
      <w:r w:rsidR="002275BE">
        <w:rPr>
          <w:spacing w:val="43"/>
        </w:rPr>
        <w:t xml:space="preserve"> </w:t>
      </w:r>
      <w:r w:rsidR="002275BE">
        <w:t>de</w:t>
      </w:r>
      <w:r w:rsidR="002275BE">
        <w:rPr>
          <w:spacing w:val="43"/>
        </w:rPr>
        <w:t xml:space="preserve"> </w:t>
      </w:r>
      <w:r w:rsidR="002275BE">
        <w:t>la</w:t>
      </w:r>
      <w:r w:rsidR="002275BE">
        <w:rPr>
          <w:spacing w:val="41"/>
        </w:rPr>
        <w:t xml:space="preserve"> </w:t>
      </w:r>
      <w:r w:rsidR="002275BE">
        <w:rPr>
          <w:b/>
        </w:rPr>
        <w:t>Licitación</w:t>
      </w:r>
      <w:r w:rsidR="002275BE">
        <w:rPr>
          <w:b/>
          <w:spacing w:val="42"/>
        </w:rPr>
        <w:t xml:space="preserve"> </w:t>
      </w:r>
      <w:r w:rsidR="002275BE">
        <w:rPr>
          <w:b/>
        </w:rPr>
        <w:t>Privada</w:t>
      </w:r>
      <w:r w:rsidR="002275BE">
        <w:rPr>
          <w:b/>
          <w:spacing w:val="41"/>
        </w:rPr>
        <w:t xml:space="preserve"> </w:t>
      </w:r>
      <w:r w:rsidR="002275BE">
        <w:rPr>
          <w:b/>
        </w:rPr>
        <w:t>Abierta</w:t>
      </w:r>
      <w:r w:rsidR="002275BE">
        <w:rPr>
          <w:b/>
          <w:spacing w:val="42"/>
        </w:rPr>
        <w:t xml:space="preserve"> </w:t>
      </w:r>
      <w:proofErr w:type="spellStart"/>
      <w:r w:rsidR="002275BE">
        <w:rPr>
          <w:b/>
        </w:rPr>
        <w:t>N°</w:t>
      </w:r>
      <w:proofErr w:type="spellEnd"/>
      <w:r w:rsidR="002275BE">
        <w:rPr>
          <w:b/>
          <w:spacing w:val="41"/>
        </w:rPr>
        <w:t xml:space="preserve"> </w:t>
      </w:r>
      <w:r w:rsidR="002275BE">
        <w:rPr>
          <w:b/>
        </w:rPr>
        <w:t>00</w:t>
      </w:r>
      <w:r w:rsidR="00A51DBB">
        <w:rPr>
          <w:b/>
        </w:rPr>
        <w:t>5</w:t>
      </w:r>
      <w:r w:rsidR="002275BE">
        <w:rPr>
          <w:b/>
          <w:spacing w:val="43"/>
        </w:rPr>
        <w:t xml:space="preserve"> </w:t>
      </w:r>
      <w:r w:rsidR="002275BE">
        <w:rPr>
          <w:b/>
        </w:rPr>
        <w:t>de</w:t>
      </w:r>
      <w:r w:rsidR="002275BE">
        <w:rPr>
          <w:b/>
          <w:spacing w:val="42"/>
        </w:rPr>
        <w:t xml:space="preserve"> </w:t>
      </w:r>
      <w:r w:rsidR="002275BE">
        <w:rPr>
          <w:b/>
        </w:rPr>
        <w:t>2019,</w:t>
      </w:r>
    </w:p>
    <w:p w14:paraId="41B26D9D" w14:textId="47FE2D58" w:rsidR="004A1BA8" w:rsidRDefault="002275BE">
      <w:pPr>
        <w:pStyle w:val="Textoindependiente"/>
        <w:spacing w:before="41"/>
        <w:ind w:left="282"/>
        <w:jc w:val="both"/>
      </w:pPr>
      <w:r>
        <w:t>procede a realizar la</w:t>
      </w:r>
      <w:r w:rsidR="008C13D9">
        <w:t>s</w:t>
      </w:r>
      <w:r>
        <w:t xml:space="preserve"> siguiente</w:t>
      </w:r>
      <w:r w:rsidR="006B7179">
        <w:t>s</w:t>
      </w:r>
      <w:r>
        <w:t xml:space="preserve"> modificaci</w:t>
      </w:r>
      <w:r w:rsidR="006B7179">
        <w:t>ones</w:t>
      </w:r>
      <w:r>
        <w:t xml:space="preserve"> a los Términos de Referencia</w:t>
      </w:r>
      <w:r w:rsidR="006B7179">
        <w:t xml:space="preserve"> y anexos</w:t>
      </w:r>
      <w:r>
        <w:t>:</w:t>
      </w:r>
    </w:p>
    <w:p w14:paraId="7523F54D" w14:textId="77777777" w:rsidR="004A1BA8" w:rsidRDefault="004A1BA8">
      <w:pPr>
        <w:pStyle w:val="Textoindependiente"/>
        <w:spacing w:before="6"/>
        <w:rPr>
          <w:sz w:val="19"/>
        </w:rPr>
      </w:pPr>
    </w:p>
    <w:p w14:paraId="7F867FEF" w14:textId="31D62554" w:rsidR="004A1BA8" w:rsidRDefault="002275BE" w:rsidP="002275BE">
      <w:pPr>
        <w:pStyle w:val="Prrafodelista"/>
        <w:numPr>
          <w:ilvl w:val="0"/>
          <w:numId w:val="1"/>
        </w:numPr>
        <w:spacing w:line="276" w:lineRule="auto"/>
        <w:ind w:right="124"/>
      </w:pPr>
      <w:r>
        <w:t xml:space="preserve">Modificar el </w:t>
      </w:r>
      <w:r w:rsidRPr="002275BE">
        <w:rPr>
          <w:b/>
        </w:rPr>
        <w:t xml:space="preserve">Numeral </w:t>
      </w:r>
      <w:r w:rsidR="00E85DFC">
        <w:rPr>
          <w:b/>
        </w:rPr>
        <w:t>2</w:t>
      </w:r>
      <w:r w:rsidRPr="002275BE">
        <w:rPr>
          <w:b/>
        </w:rPr>
        <w:t>.</w:t>
      </w:r>
      <w:r w:rsidR="00E85DFC">
        <w:rPr>
          <w:b/>
        </w:rPr>
        <w:t>2</w:t>
      </w:r>
      <w:r w:rsidRPr="002275BE">
        <w:rPr>
          <w:b/>
        </w:rPr>
        <w:t xml:space="preserve"> </w:t>
      </w:r>
      <w:r w:rsidR="00E85DFC">
        <w:rPr>
          <w:b/>
        </w:rPr>
        <w:t>CONDICIONES HABILITANTES Y PONDER</w:t>
      </w:r>
      <w:r w:rsidR="005A340A">
        <w:rPr>
          <w:b/>
        </w:rPr>
        <w:t>A</w:t>
      </w:r>
      <w:r w:rsidR="00E85DFC">
        <w:rPr>
          <w:b/>
        </w:rPr>
        <w:t>BLES</w:t>
      </w:r>
      <w:r w:rsidRPr="002275BE">
        <w:rPr>
          <w:b/>
        </w:rPr>
        <w:t xml:space="preserve">, </w:t>
      </w:r>
      <w:r>
        <w:t>de los términos de referencia del proceso en</w:t>
      </w:r>
      <w:r w:rsidRPr="002275BE">
        <w:rPr>
          <w:spacing w:val="-4"/>
        </w:rPr>
        <w:t xml:space="preserve"> </w:t>
      </w:r>
      <w:r>
        <w:t>mención.</w:t>
      </w:r>
    </w:p>
    <w:p w14:paraId="6DF05C75" w14:textId="3917DAA2" w:rsidR="002275BE" w:rsidRDefault="002275BE" w:rsidP="002275BE">
      <w:pPr>
        <w:pStyle w:val="Prrafodelista"/>
        <w:spacing w:line="276" w:lineRule="auto"/>
        <w:ind w:left="642" w:right="124"/>
      </w:pPr>
    </w:p>
    <w:p w14:paraId="632B4281" w14:textId="1D8DC425" w:rsidR="002275BE" w:rsidRDefault="002275BE" w:rsidP="002275BE">
      <w:pPr>
        <w:pStyle w:val="Prrafodelista"/>
        <w:spacing w:line="276" w:lineRule="auto"/>
        <w:ind w:left="642" w:right="124"/>
      </w:pPr>
      <w:r>
        <w:t>La modificación es la siguiente:</w:t>
      </w:r>
    </w:p>
    <w:p w14:paraId="1FC6198A" w14:textId="2EE8E051" w:rsidR="002275BE" w:rsidRDefault="002275BE" w:rsidP="002275BE">
      <w:pPr>
        <w:spacing w:line="276" w:lineRule="auto"/>
        <w:ind w:right="124"/>
      </w:pPr>
    </w:p>
    <w:p w14:paraId="185217E0" w14:textId="29E5A37E" w:rsidR="00072E41" w:rsidRDefault="00072E41" w:rsidP="002275BE">
      <w:pPr>
        <w:pStyle w:val="Sinespaciado"/>
        <w:ind w:left="282"/>
        <w:jc w:val="both"/>
        <w:rPr>
          <w:rFonts w:asciiTheme="minorHAnsi" w:hAnsiTheme="minorHAnsi"/>
          <w:lang w:val="es-CO"/>
        </w:rPr>
      </w:pPr>
      <w:r>
        <w:rPr>
          <w:b/>
          <w:lang w:val="es-CO"/>
        </w:rPr>
        <w:t xml:space="preserve">2.2 </w:t>
      </w:r>
      <w:r w:rsidR="00495A01" w:rsidRPr="00072E41">
        <w:rPr>
          <w:b/>
          <w:lang w:val="es-CO"/>
        </w:rPr>
        <w:t>CONDICIONES HABILITANTES Y PONDERABLES</w:t>
      </w:r>
      <w:r w:rsidR="00495A01" w:rsidRPr="00EA3321">
        <w:rPr>
          <w:rFonts w:asciiTheme="minorHAnsi" w:hAnsiTheme="minorHAnsi"/>
          <w:lang w:val="es-CO"/>
        </w:rPr>
        <w:t xml:space="preserve"> </w:t>
      </w:r>
    </w:p>
    <w:p w14:paraId="3854BF68" w14:textId="77777777" w:rsidR="00072E41" w:rsidRDefault="00072E41" w:rsidP="002275BE">
      <w:pPr>
        <w:pStyle w:val="Sinespaciado"/>
        <w:ind w:left="282"/>
        <w:jc w:val="both"/>
        <w:rPr>
          <w:rFonts w:asciiTheme="minorHAnsi" w:hAnsiTheme="minorHAnsi"/>
          <w:lang w:val="es-CO"/>
        </w:rPr>
      </w:pPr>
    </w:p>
    <w:p w14:paraId="145A2479" w14:textId="4C79A710" w:rsidR="007052B8" w:rsidRPr="00EA3321" w:rsidRDefault="007052B8" w:rsidP="007052B8">
      <w:pPr>
        <w:rPr>
          <w:rFonts w:cs="Times New Roman"/>
        </w:rPr>
      </w:pPr>
      <w:r w:rsidRPr="00EA3321">
        <w:rPr>
          <w:rFonts w:cs="Times New Roman"/>
        </w:rPr>
        <w:t>CONDICIONES PONDERABLES (1</w:t>
      </w:r>
      <w:r>
        <w:rPr>
          <w:rFonts w:cs="Times New Roman"/>
        </w:rPr>
        <w:t>2</w:t>
      </w:r>
      <w:r w:rsidRPr="00EA3321">
        <w:rPr>
          <w:rFonts w:cs="Times New Roman"/>
        </w:rPr>
        <w:t>00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52B8" w:rsidRPr="00EA3321" w14:paraId="2976B725" w14:textId="77777777" w:rsidTr="008730D5">
        <w:trPr>
          <w:tblHeader/>
        </w:trPr>
        <w:tc>
          <w:tcPr>
            <w:tcW w:w="4414" w:type="dxa"/>
            <w:shd w:val="clear" w:color="auto" w:fill="000000" w:themeFill="text1"/>
          </w:tcPr>
          <w:p w14:paraId="6135F874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>Condición</w:t>
            </w:r>
          </w:p>
        </w:tc>
        <w:tc>
          <w:tcPr>
            <w:tcW w:w="4414" w:type="dxa"/>
            <w:shd w:val="clear" w:color="auto" w:fill="000000" w:themeFill="text1"/>
          </w:tcPr>
          <w:p w14:paraId="6E896F10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Puntaje </w:t>
            </w:r>
          </w:p>
        </w:tc>
      </w:tr>
      <w:tr w:rsidR="007052B8" w:rsidRPr="00EA3321" w14:paraId="22158F25" w14:textId="77777777" w:rsidTr="008730D5">
        <w:tc>
          <w:tcPr>
            <w:tcW w:w="4414" w:type="dxa"/>
          </w:tcPr>
          <w:p w14:paraId="4A5CC382" w14:textId="77777777" w:rsidR="007052B8" w:rsidRPr="00EA3321" w:rsidRDefault="007052B8" w:rsidP="008730D5">
            <w:pPr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Ejecución en los últimos cinco años de proyectos de dotación de tecnología (incluyendo computadores portátiles) para Instituciones Educativas oficiales y conforme a las especificaciones técnicas de Computadores para Educar y/o Ministerio de Educación, adicionales a los presentados para cumplir con las condiciones habilitantes. </w:t>
            </w:r>
          </w:p>
        </w:tc>
        <w:tc>
          <w:tcPr>
            <w:tcW w:w="4414" w:type="dxa"/>
          </w:tcPr>
          <w:p w14:paraId="63C52D7D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150 por cada contrato adicional </w:t>
            </w:r>
          </w:p>
          <w:p w14:paraId="1E6EF765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>(hasta 300 puntos)</w:t>
            </w:r>
          </w:p>
        </w:tc>
      </w:tr>
      <w:tr w:rsidR="007052B8" w:rsidRPr="00EA3321" w14:paraId="314168D7" w14:textId="77777777" w:rsidTr="008730D5">
        <w:tc>
          <w:tcPr>
            <w:tcW w:w="4414" w:type="dxa"/>
          </w:tcPr>
          <w:p w14:paraId="302153C9" w14:textId="77777777" w:rsidR="007052B8" w:rsidRPr="00EA3321" w:rsidRDefault="007052B8" w:rsidP="008730D5">
            <w:pPr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Ejecución en los últimos cinco años de proyectos de dotación de tecnología (incluyendo computadores portátiles) para Instituciones Educativas oficiales y como proveedores de entidades conforme a las especificaciones técnicas de Computadores para Educar y/o Ministerio de Educación en el área donde se desarrollará el proyecto o en áreas con condiciones sociopolíticas similares. </w:t>
            </w:r>
          </w:p>
        </w:tc>
        <w:tc>
          <w:tcPr>
            <w:tcW w:w="4414" w:type="dxa"/>
          </w:tcPr>
          <w:p w14:paraId="09981B97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150 por cada contrato </w:t>
            </w:r>
          </w:p>
          <w:p w14:paraId="2B6733F8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>(Hasta 300 puntos)</w:t>
            </w:r>
          </w:p>
        </w:tc>
      </w:tr>
      <w:tr w:rsidR="007052B8" w:rsidRPr="00EA3321" w14:paraId="5B5A1E02" w14:textId="77777777" w:rsidTr="008730D5">
        <w:tc>
          <w:tcPr>
            <w:tcW w:w="4414" w:type="dxa"/>
          </w:tcPr>
          <w:p w14:paraId="355FDF57" w14:textId="77777777" w:rsidR="007052B8" w:rsidRPr="00EA3321" w:rsidRDefault="007052B8" w:rsidP="008730D5">
            <w:pPr>
              <w:rPr>
                <w:rFonts w:cs="Times New Roman"/>
              </w:rPr>
            </w:pPr>
            <w:r w:rsidRPr="00EA3321">
              <w:rPr>
                <w:rFonts w:cs="Times New Roman"/>
              </w:rPr>
              <w:t xml:space="preserve">Ejecución en los últimos cinco años de proyectos de dotación de tecnología (incluyendo computadores portátiles para Instituciones Educativas como proveedor de Computadores para Educar. </w:t>
            </w:r>
          </w:p>
        </w:tc>
        <w:tc>
          <w:tcPr>
            <w:tcW w:w="4414" w:type="dxa"/>
          </w:tcPr>
          <w:p w14:paraId="3A07E146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>300 puntos</w:t>
            </w:r>
          </w:p>
        </w:tc>
      </w:tr>
      <w:tr w:rsidR="007052B8" w:rsidRPr="00EA3321" w14:paraId="6E80C575" w14:textId="77777777" w:rsidTr="008730D5">
        <w:tc>
          <w:tcPr>
            <w:tcW w:w="4414" w:type="dxa"/>
          </w:tcPr>
          <w:p w14:paraId="6A78083E" w14:textId="5F83BEF4" w:rsidR="007052B8" w:rsidRPr="00EA3321" w:rsidRDefault="00396D81" w:rsidP="008730D5">
            <w:pPr>
              <w:rPr>
                <w:rFonts w:cs="Times New Roman"/>
              </w:rPr>
            </w:pPr>
            <w:r>
              <w:rPr>
                <w:rFonts w:cs="Times New Roman"/>
              </w:rPr>
              <w:t>Certificación de distribuidor autorizado directamente por el fabricante.</w:t>
            </w:r>
          </w:p>
        </w:tc>
        <w:tc>
          <w:tcPr>
            <w:tcW w:w="4414" w:type="dxa"/>
          </w:tcPr>
          <w:p w14:paraId="19E12CCF" w14:textId="6D1F1116" w:rsidR="007052B8" w:rsidRPr="00EA3321" w:rsidRDefault="00396D81" w:rsidP="00873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 puntos</w:t>
            </w:r>
          </w:p>
        </w:tc>
      </w:tr>
      <w:tr w:rsidR="007052B8" w:rsidRPr="00EA3321" w14:paraId="1C65434F" w14:textId="77777777" w:rsidTr="008730D5">
        <w:tc>
          <w:tcPr>
            <w:tcW w:w="4414" w:type="dxa"/>
          </w:tcPr>
          <w:p w14:paraId="2B3E1BED" w14:textId="77777777" w:rsidR="007052B8" w:rsidRPr="00EA3321" w:rsidRDefault="007052B8" w:rsidP="008730D5">
            <w:pPr>
              <w:rPr>
                <w:rFonts w:cs="Times New Roman"/>
              </w:rPr>
            </w:pPr>
            <w:r w:rsidRPr="00EA3321">
              <w:rPr>
                <w:rFonts w:cs="Times New Roman"/>
              </w:rPr>
              <w:t>Propuesta económica con la mejor relación costo – beneficio</w:t>
            </w:r>
          </w:p>
        </w:tc>
        <w:tc>
          <w:tcPr>
            <w:tcW w:w="4414" w:type="dxa"/>
          </w:tcPr>
          <w:p w14:paraId="08C22DD7" w14:textId="77777777" w:rsidR="007052B8" w:rsidRPr="00EA3321" w:rsidRDefault="007052B8" w:rsidP="008730D5">
            <w:pPr>
              <w:jc w:val="center"/>
              <w:rPr>
                <w:rFonts w:cs="Times New Roman"/>
              </w:rPr>
            </w:pPr>
            <w:r w:rsidRPr="00EA3321">
              <w:rPr>
                <w:rFonts w:cs="Times New Roman"/>
              </w:rPr>
              <w:t>100 puntos</w:t>
            </w:r>
          </w:p>
        </w:tc>
      </w:tr>
    </w:tbl>
    <w:p w14:paraId="73D3FBFF" w14:textId="77777777" w:rsidR="007052B8" w:rsidRPr="00EA3321" w:rsidRDefault="007052B8" w:rsidP="007052B8">
      <w:pPr>
        <w:pStyle w:val="Prrafodelista"/>
        <w:ind w:left="360" w:right="113"/>
        <w:jc w:val="both"/>
        <w:rPr>
          <w:rFonts w:cs="Times New Roman"/>
          <w:lang w:val="es-CO"/>
        </w:rPr>
      </w:pPr>
    </w:p>
    <w:p w14:paraId="36F2503A" w14:textId="77777777" w:rsidR="002275BE" w:rsidRPr="002275BE" w:rsidRDefault="002275BE" w:rsidP="002275BE">
      <w:pPr>
        <w:spacing w:line="276" w:lineRule="auto"/>
        <w:ind w:right="124"/>
        <w:rPr>
          <w:lang w:val="es-CO"/>
        </w:rPr>
      </w:pPr>
    </w:p>
    <w:p w14:paraId="65E6E27E" w14:textId="78ED3D57" w:rsidR="004A1BA8" w:rsidRDefault="006B7179" w:rsidP="006B7179">
      <w:pPr>
        <w:pStyle w:val="Textoindependiente"/>
        <w:numPr>
          <w:ilvl w:val="0"/>
          <w:numId w:val="1"/>
        </w:numPr>
      </w:pPr>
      <w:r>
        <w:t>Modificación de Modelo de Orden de compra, se elim</w:t>
      </w:r>
      <w:r w:rsidR="00762A7F">
        <w:t>in</w:t>
      </w:r>
      <w:r>
        <w:t xml:space="preserve">a la mención de 310 computadores </w:t>
      </w:r>
      <w:r w:rsidR="00762A7F">
        <w:t xml:space="preserve">Lenovo </w:t>
      </w:r>
      <w:r>
        <w:t>que fue in</w:t>
      </w:r>
      <w:r w:rsidR="00762A7F">
        <w:t>voluntaria.</w:t>
      </w:r>
      <w:r w:rsidR="00CF6B40">
        <w:t xml:space="preserve"> En el modelo de orden de compra no se incluyen cantidades, ni marcas.</w:t>
      </w:r>
      <w:r w:rsidR="00762A7F">
        <w:t xml:space="preserve"> </w:t>
      </w:r>
    </w:p>
    <w:p w14:paraId="14CFCEF2" w14:textId="77777777" w:rsidR="00762A7F" w:rsidRDefault="00762A7F" w:rsidP="00762A7F">
      <w:pPr>
        <w:pStyle w:val="Textoindependiente"/>
        <w:ind w:left="642"/>
      </w:pPr>
    </w:p>
    <w:p w14:paraId="423266D3" w14:textId="77777777" w:rsidR="004A1BA8" w:rsidRDefault="002275BE">
      <w:pPr>
        <w:pStyle w:val="Textoindependiente"/>
        <w:spacing w:before="1"/>
        <w:ind w:left="282" w:right="113"/>
        <w:jc w:val="both"/>
      </w:pPr>
      <w:r>
        <w:t xml:space="preserve">La presente modificación se realiza con base a lo estipulado en el punto 3.7. </w:t>
      </w:r>
      <w:r>
        <w:rPr>
          <w:i/>
        </w:rPr>
        <w:t>“Modificación de los términos de referencia – Adendas”</w:t>
      </w:r>
      <w:r>
        <w:t>, donde se le da la facultad a la entidad contratante de</w:t>
      </w:r>
      <w:r>
        <w:rPr>
          <w:spacing w:val="-31"/>
        </w:rPr>
        <w:t xml:space="preserve"> </w:t>
      </w:r>
      <w:r>
        <w:t>modificar los</w:t>
      </w:r>
      <w:r>
        <w:rPr>
          <w:spacing w:val="-7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adendas,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publicadas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web habilitada para esto.</w:t>
      </w:r>
    </w:p>
    <w:p w14:paraId="229F922F" w14:textId="77777777" w:rsidR="004A1BA8" w:rsidRDefault="004A1BA8">
      <w:pPr>
        <w:pStyle w:val="Textoindependiente"/>
        <w:spacing w:before="11"/>
        <w:rPr>
          <w:sz w:val="21"/>
        </w:rPr>
      </w:pPr>
    </w:p>
    <w:p w14:paraId="5EB7CD45" w14:textId="77777777" w:rsidR="004A1BA8" w:rsidRDefault="002275BE">
      <w:pPr>
        <w:pStyle w:val="Textoindependiente"/>
        <w:spacing w:line="278" w:lineRule="auto"/>
        <w:ind w:left="282" w:right="114"/>
        <w:jc w:val="both"/>
      </w:pPr>
      <w:r>
        <w:t xml:space="preserve">Las </w:t>
      </w:r>
      <w:r>
        <w:rPr>
          <w:spacing w:val="-3"/>
        </w:rPr>
        <w:t xml:space="preserve">demás disposiciones </w:t>
      </w:r>
      <w:r>
        <w:rPr>
          <w:spacing w:val="-4"/>
        </w:rPr>
        <w:t xml:space="preserve">consagradas </w:t>
      </w:r>
      <w:r>
        <w:t xml:space="preserve">en los </w:t>
      </w:r>
      <w:r>
        <w:rPr>
          <w:spacing w:val="-3"/>
        </w:rPr>
        <w:t xml:space="preserve">Términos </w:t>
      </w:r>
      <w:r>
        <w:t xml:space="preserve">de </w:t>
      </w:r>
      <w:r>
        <w:rPr>
          <w:spacing w:val="-3"/>
        </w:rPr>
        <w:t xml:space="preserve">Referencia, que </w:t>
      </w:r>
      <w:r>
        <w:t xml:space="preserve">no </w:t>
      </w:r>
      <w:r>
        <w:rPr>
          <w:spacing w:val="-3"/>
        </w:rPr>
        <w:t xml:space="preserve">hayan sido modificados </w:t>
      </w:r>
      <w:r>
        <w:t xml:space="preserve">o </w:t>
      </w:r>
      <w:r>
        <w:rPr>
          <w:spacing w:val="-3"/>
        </w:rPr>
        <w:t xml:space="preserve">aclaradas </w:t>
      </w:r>
      <w:r>
        <w:t xml:space="preserve">en el </w:t>
      </w:r>
      <w:r>
        <w:rPr>
          <w:spacing w:val="-3"/>
        </w:rPr>
        <w:t xml:space="preserve">presente documento, continúan </w:t>
      </w:r>
      <w:r>
        <w:t xml:space="preserve">vigentes en los </w:t>
      </w:r>
      <w:r>
        <w:rPr>
          <w:spacing w:val="-3"/>
        </w:rPr>
        <w:t>mismos</w:t>
      </w:r>
      <w:r>
        <w:rPr>
          <w:spacing w:val="-37"/>
        </w:rPr>
        <w:t xml:space="preserve"> </w:t>
      </w:r>
      <w:r>
        <w:rPr>
          <w:spacing w:val="-3"/>
        </w:rPr>
        <w:t>términos.</w:t>
      </w:r>
    </w:p>
    <w:p w14:paraId="4C4AB2BF" w14:textId="698BDA50" w:rsidR="004A1BA8" w:rsidRDefault="002275BE">
      <w:pPr>
        <w:pStyle w:val="Textoindependiente"/>
        <w:spacing w:before="195"/>
        <w:ind w:left="282"/>
        <w:jc w:val="both"/>
      </w:pPr>
      <w:r>
        <w:t xml:space="preserve">Dada a los </w:t>
      </w:r>
      <w:r w:rsidR="00A51DBB">
        <w:t>diez</w:t>
      </w:r>
      <w:r>
        <w:t xml:space="preserve"> (</w:t>
      </w:r>
      <w:r w:rsidR="00A51DBB">
        <w:t>10</w:t>
      </w:r>
      <w:r>
        <w:t>) días del mes de julio de 2019.</w:t>
      </w:r>
    </w:p>
    <w:p w14:paraId="68B82BB1" w14:textId="77777777" w:rsidR="004A1BA8" w:rsidRDefault="004A1BA8">
      <w:pPr>
        <w:pStyle w:val="Textoindependiente"/>
      </w:pPr>
    </w:p>
    <w:p w14:paraId="7C710B20" w14:textId="77777777" w:rsidR="004A1BA8" w:rsidRDefault="004A1BA8">
      <w:pPr>
        <w:pStyle w:val="Textoindependiente"/>
        <w:spacing w:before="1"/>
      </w:pPr>
    </w:p>
    <w:p w14:paraId="17C4C510" w14:textId="77777777" w:rsidR="004A1BA8" w:rsidRDefault="002275BE">
      <w:pPr>
        <w:pStyle w:val="Ttulo1"/>
        <w:spacing w:before="0"/>
        <w:ind w:left="1875"/>
        <w:rPr>
          <w:u w:val="none"/>
        </w:rPr>
      </w:pPr>
      <w:r>
        <w:rPr>
          <w:u w:val="none"/>
        </w:rPr>
        <w:t>PUBLÍQUESE,</w:t>
      </w:r>
    </w:p>
    <w:p w14:paraId="72C8A2CB" w14:textId="77777777" w:rsidR="004A1BA8" w:rsidRDefault="002275BE">
      <w:pPr>
        <w:pStyle w:val="Textoindependiente"/>
        <w:spacing w:before="1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33480A" wp14:editId="0B4B405E">
            <wp:simplePos x="0" y="0"/>
            <wp:positionH relativeFrom="page">
              <wp:posOffset>3220085</wp:posOffset>
            </wp:positionH>
            <wp:positionV relativeFrom="paragraph">
              <wp:posOffset>116840</wp:posOffset>
            </wp:positionV>
            <wp:extent cx="1319530" cy="5416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A377D" w14:textId="77777777" w:rsidR="004A1BA8" w:rsidRDefault="004A1BA8">
      <w:pPr>
        <w:pStyle w:val="Textoindependiente"/>
        <w:spacing w:before="7"/>
        <w:rPr>
          <w:b/>
          <w:sz w:val="32"/>
        </w:rPr>
      </w:pPr>
    </w:p>
    <w:p w14:paraId="06CF8610" w14:textId="0C89FAA3" w:rsidR="004A1BA8" w:rsidRDefault="00A51DBB">
      <w:pPr>
        <w:ind w:left="3087" w:right="2926"/>
        <w:jc w:val="center"/>
        <w:rPr>
          <w:b/>
        </w:rPr>
      </w:pPr>
      <w:r>
        <w:rPr>
          <w:b/>
        </w:rPr>
        <w:t>ANGELA RIVAS GAMBOA</w:t>
      </w:r>
      <w:r w:rsidR="002275BE">
        <w:rPr>
          <w:b/>
        </w:rPr>
        <w:t xml:space="preserve"> </w:t>
      </w:r>
    </w:p>
    <w:p w14:paraId="2460F47E" w14:textId="52D430EB" w:rsidR="00A51DBB" w:rsidRPr="00A51DBB" w:rsidRDefault="00A51DBB">
      <w:pPr>
        <w:ind w:left="3087" w:right="2926"/>
        <w:jc w:val="center"/>
        <w:rPr>
          <w:bCs/>
        </w:rPr>
      </w:pPr>
      <w:r w:rsidRPr="00A51DBB">
        <w:rPr>
          <w:bCs/>
        </w:rPr>
        <w:t>COORDINADORA DE ASUNTOS POLITIVOS Y ONG</w:t>
      </w:r>
    </w:p>
    <w:p w14:paraId="3625E663" w14:textId="7274269C" w:rsidR="00A51DBB" w:rsidRDefault="00A51DBB">
      <w:pPr>
        <w:ind w:left="3087" w:right="2926"/>
        <w:jc w:val="center"/>
        <w:rPr>
          <w:b/>
        </w:rPr>
      </w:pPr>
      <w:r>
        <w:rPr>
          <w:b/>
        </w:rPr>
        <w:t>PAREX RESOURCES</w:t>
      </w:r>
    </w:p>
    <w:p w14:paraId="6256CA82" w14:textId="77777777" w:rsidR="004A1BA8" w:rsidRDefault="004A1BA8">
      <w:pPr>
        <w:pStyle w:val="Textoindependiente"/>
        <w:rPr>
          <w:b/>
        </w:rPr>
      </w:pPr>
    </w:p>
    <w:p w14:paraId="36A3CDFF" w14:textId="77777777" w:rsidR="004A1BA8" w:rsidRDefault="004A1BA8">
      <w:pPr>
        <w:pStyle w:val="Textoindependiente"/>
        <w:rPr>
          <w:b/>
        </w:rPr>
      </w:pPr>
    </w:p>
    <w:p w14:paraId="556068C3" w14:textId="77777777" w:rsidR="004A1BA8" w:rsidRDefault="004A1BA8">
      <w:pPr>
        <w:pStyle w:val="Textoindependiente"/>
        <w:spacing w:before="2"/>
        <w:rPr>
          <w:b/>
          <w:sz w:val="28"/>
        </w:rPr>
      </w:pPr>
    </w:p>
    <w:sectPr w:rsidR="004A1BA8">
      <w:type w:val="continuous"/>
      <w:pgSz w:w="12240" w:h="15840"/>
      <w:pgMar w:top="520" w:right="15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C0DF1"/>
    <w:multiLevelType w:val="multilevel"/>
    <w:tmpl w:val="328EE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8436B2E"/>
    <w:multiLevelType w:val="multilevel"/>
    <w:tmpl w:val="3740F684"/>
    <w:lvl w:ilvl="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42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002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1362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1362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2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2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2" w:hanging="1440"/>
      </w:pPr>
      <w:rPr>
        <w:rFonts w:cs="Arial" w:hint="default"/>
        <w:b/>
      </w:rPr>
    </w:lvl>
  </w:abstractNum>
  <w:abstractNum w:abstractNumId="2" w15:restartNumberingAfterBreak="0">
    <w:nsid w:val="4A846D5F"/>
    <w:multiLevelType w:val="multilevel"/>
    <w:tmpl w:val="48C2D30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ind w:left="642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3696" w:hanging="144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BA8"/>
    <w:rsid w:val="00072E41"/>
    <w:rsid w:val="00145D16"/>
    <w:rsid w:val="002275BE"/>
    <w:rsid w:val="00391AF0"/>
    <w:rsid w:val="00396D81"/>
    <w:rsid w:val="00432C70"/>
    <w:rsid w:val="00495A01"/>
    <w:rsid w:val="004A1BA8"/>
    <w:rsid w:val="005A340A"/>
    <w:rsid w:val="006B7179"/>
    <w:rsid w:val="007052B8"/>
    <w:rsid w:val="00762A7F"/>
    <w:rsid w:val="008C13D9"/>
    <w:rsid w:val="00952D27"/>
    <w:rsid w:val="00A51DBB"/>
    <w:rsid w:val="00CF6B40"/>
    <w:rsid w:val="00DD2BD9"/>
    <w:rsid w:val="00E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DB1529"/>
  <w15:docId w15:val="{0B496175-BB8B-4744-8C10-4B1926F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56"/>
      <w:ind w:left="1881" w:right="1719"/>
      <w:jc w:val="center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Título1,Título de Diagrama,Bolita,List Paragraph,Párrafo de lista2,Párrafo de lista3,Párrafo de lista21,HOJA,Cuadrícula clara - Énfasis 31,Párrafo de lista4,Colorful List - Accent 11,Lista vistosa - Énfasis 11,Colorful List Accent 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Título1 Car,Título de Diagrama Car,Bolita Car,List Paragraph Car,Párrafo de lista2 Car,Párrafo de lista3 Car,Párrafo de lista21 Car,HOJA Car,Cuadrícula clara - Énfasis 31 Car,Párrafo de lista4 Car,Colorful List - Accent 11 Car"/>
    <w:basedOn w:val="Fuentedeprrafopredeter"/>
    <w:link w:val="Prrafodelista"/>
    <w:uiPriority w:val="34"/>
    <w:locked/>
    <w:rsid w:val="002275BE"/>
    <w:rPr>
      <w:rFonts w:ascii="Calibri" w:eastAsia="Calibri" w:hAnsi="Calibri" w:cs="Calibri"/>
      <w:lang w:val="es-ES" w:eastAsia="es-ES" w:bidi="es-ES"/>
    </w:rPr>
  </w:style>
  <w:style w:type="paragraph" w:styleId="Sinespaciado">
    <w:name w:val="No Spacing"/>
    <w:aliases w:val="Cuerpo"/>
    <w:qFormat/>
    <w:rsid w:val="002275BE"/>
    <w:pPr>
      <w:widowControl/>
      <w:autoSpaceDE/>
      <w:autoSpaceDN/>
    </w:pPr>
    <w:rPr>
      <w:rFonts w:ascii="Calibri" w:eastAsia="Calibri" w:hAnsi="Calibri" w:cs="Times New Roman"/>
      <w:lang w:val="en-CA"/>
    </w:rPr>
  </w:style>
  <w:style w:type="character" w:customStyle="1" w:styleId="Ninguno">
    <w:name w:val="Ninguno"/>
    <w:rsid w:val="002275BE"/>
  </w:style>
  <w:style w:type="table" w:styleId="Tablaconcuadrcula">
    <w:name w:val="Table Grid"/>
    <w:basedOn w:val="Tablanormal"/>
    <w:uiPriority w:val="39"/>
    <w:rsid w:val="007052B8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Castro Pardo Yuly Dayana</dc:creator>
  <cp:lastModifiedBy>Angela Rivas</cp:lastModifiedBy>
  <cp:revision>13</cp:revision>
  <cp:lastPrinted>2019-07-10T14:33:00Z</cp:lastPrinted>
  <dcterms:created xsi:type="dcterms:W3CDTF">2019-07-12T20:30:00Z</dcterms:created>
  <dcterms:modified xsi:type="dcterms:W3CDTF">2019-07-12T22:01:00Z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2019-07-10T00:00:00Z</vt:filetime>
  </property>
</Properties>
</file>