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2F9A" w14:textId="77777777" w:rsidR="00C877D4" w:rsidRPr="00CA5E1E" w:rsidRDefault="00C877D4" w:rsidP="00821176">
      <w:pPr>
        <w:pStyle w:val="Prrafodelista"/>
        <w:numPr>
          <w:ilvl w:val="0"/>
          <w:numId w:val="9"/>
        </w:numPr>
        <w:spacing w:after="0" w:line="240" w:lineRule="auto"/>
        <w:jc w:val="center"/>
        <w:rPr>
          <w:rFonts w:asciiTheme="minorHAnsi" w:hAnsiTheme="minorHAnsi" w:cstheme="minorHAnsi"/>
          <w:lang w:eastAsia="es-CO"/>
        </w:rPr>
      </w:pPr>
      <w:r w:rsidRPr="00CA5E1E">
        <w:rPr>
          <w:rFonts w:asciiTheme="minorHAnsi" w:hAnsiTheme="minorHAnsi" w:cstheme="minorHAnsi"/>
          <w:b/>
        </w:rPr>
        <w:t>COMPETENCIA Y ASUNTO POR DECIDIR</w:t>
      </w:r>
    </w:p>
    <w:p w14:paraId="65EA02E2" w14:textId="77777777" w:rsidR="00C877D4" w:rsidRPr="00CA5E1E" w:rsidRDefault="00C877D4" w:rsidP="00821176">
      <w:pPr>
        <w:spacing w:after="0" w:line="240" w:lineRule="auto"/>
        <w:jc w:val="both"/>
        <w:rPr>
          <w:rFonts w:asciiTheme="minorHAnsi" w:hAnsiTheme="minorHAnsi" w:cstheme="minorHAnsi"/>
          <w:lang w:eastAsia="es-CO"/>
        </w:rPr>
      </w:pPr>
    </w:p>
    <w:p w14:paraId="5D7D7B74" w14:textId="22507057" w:rsidR="00C877D4" w:rsidRPr="00CA5E1E" w:rsidRDefault="00C877D4" w:rsidP="00821176">
      <w:pPr>
        <w:spacing w:after="0" w:line="240" w:lineRule="auto"/>
        <w:jc w:val="both"/>
        <w:rPr>
          <w:rFonts w:asciiTheme="minorHAnsi" w:hAnsiTheme="minorHAnsi" w:cstheme="minorHAnsi"/>
          <w:lang w:eastAsia="es-CO"/>
        </w:rPr>
      </w:pPr>
      <w:r w:rsidRPr="00CA5E1E">
        <w:rPr>
          <w:rFonts w:asciiTheme="minorHAnsi" w:hAnsiTheme="minorHAnsi" w:cstheme="minorHAnsi"/>
        </w:rPr>
        <w:t>De conformidad con los artículos 2</w:t>
      </w:r>
      <w:r w:rsidRPr="00CA5E1E">
        <w:rPr>
          <w:rStyle w:val="Refdenotaalpie"/>
          <w:rFonts w:asciiTheme="minorHAnsi" w:hAnsiTheme="minorHAnsi" w:cstheme="minorHAnsi"/>
          <w:lang w:eastAsia="es-CO"/>
        </w:rPr>
        <w:footnoteReference w:id="1"/>
      </w:r>
      <w:r w:rsidRPr="00CA5E1E">
        <w:rPr>
          <w:rFonts w:asciiTheme="minorHAnsi" w:hAnsiTheme="minorHAnsi" w:cstheme="minorHAnsi"/>
        </w:rPr>
        <w:t>, 12</w:t>
      </w:r>
      <w:r w:rsidRPr="00CA5E1E">
        <w:rPr>
          <w:rStyle w:val="Refdenotaalpie"/>
          <w:rFonts w:asciiTheme="minorHAnsi" w:hAnsiTheme="minorHAnsi" w:cstheme="minorHAnsi"/>
        </w:rPr>
        <w:footnoteReference w:id="2"/>
      </w:r>
      <w:r w:rsidRPr="00CA5E1E">
        <w:rPr>
          <w:rFonts w:asciiTheme="minorHAnsi" w:hAnsiTheme="minorHAnsi" w:cstheme="minorHAnsi"/>
        </w:rPr>
        <w:t>, 83</w:t>
      </w:r>
      <w:r w:rsidRPr="00CA5E1E">
        <w:rPr>
          <w:rStyle w:val="Refdenotaalpie"/>
          <w:rFonts w:asciiTheme="minorHAnsi" w:hAnsiTheme="minorHAnsi" w:cstheme="minorHAnsi"/>
          <w:lang w:eastAsia="es-CO"/>
        </w:rPr>
        <w:footnoteReference w:id="3"/>
      </w:r>
      <w:r w:rsidRPr="00CA5E1E">
        <w:rPr>
          <w:rFonts w:asciiTheme="minorHAnsi" w:hAnsiTheme="minorHAnsi" w:cstheme="minorHAnsi"/>
        </w:rPr>
        <w:t xml:space="preserve"> y 93</w:t>
      </w:r>
      <w:r w:rsidRPr="00CA5E1E">
        <w:rPr>
          <w:rStyle w:val="Refdenotaalpie"/>
          <w:rFonts w:asciiTheme="minorHAnsi" w:hAnsiTheme="minorHAnsi" w:cstheme="minorHAnsi"/>
          <w:lang w:eastAsia="es-CO"/>
        </w:rPr>
        <w:footnoteReference w:id="4"/>
      </w:r>
      <w:r w:rsidRPr="00CA5E1E">
        <w:rPr>
          <w:rFonts w:asciiTheme="minorHAnsi" w:hAnsiTheme="minorHAnsi" w:cstheme="minorHAnsi"/>
        </w:rPr>
        <w:t xml:space="preserve"> de la Ley 1952 de 2019, así como</w:t>
      </w:r>
      <w:r w:rsidR="006C2FE4">
        <w:rPr>
          <w:rFonts w:asciiTheme="minorHAnsi" w:hAnsiTheme="minorHAnsi" w:cstheme="minorHAnsi"/>
        </w:rPr>
        <w:t xml:space="preserve"> el</w:t>
      </w:r>
      <w:r w:rsidRPr="00CA5E1E">
        <w:rPr>
          <w:rFonts w:asciiTheme="minorHAnsi" w:hAnsiTheme="minorHAnsi" w:cstheme="minorHAnsi"/>
        </w:rPr>
        <w:t xml:space="preserve"> artículos </w:t>
      </w:r>
      <w:r w:rsidR="006C2FE4">
        <w:rPr>
          <w:rFonts w:asciiTheme="minorHAnsi" w:hAnsiTheme="minorHAnsi" w:cstheme="minorHAnsi"/>
        </w:rPr>
        <w:t xml:space="preserve">2 </w:t>
      </w:r>
      <w:r w:rsidRPr="00CA5E1E">
        <w:rPr>
          <w:rFonts w:asciiTheme="minorHAnsi" w:hAnsiTheme="minorHAnsi" w:cstheme="minorHAnsi"/>
          <w:lang w:eastAsia="es-CO"/>
        </w:rPr>
        <w:t>de la Resolución No. 16 de 2022</w:t>
      </w:r>
      <w:r w:rsidRPr="00CA5E1E">
        <w:rPr>
          <w:rStyle w:val="Refdenotaalpie"/>
          <w:rFonts w:asciiTheme="minorHAnsi" w:hAnsiTheme="minorHAnsi" w:cstheme="minorHAnsi"/>
          <w:lang w:eastAsia="es-CO"/>
        </w:rPr>
        <w:footnoteReference w:id="5"/>
      </w:r>
      <w:r w:rsidRPr="00CA5E1E">
        <w:rPr>
          <w:rFonts w:asciiTheme="minorHAnsi" w:hAnsiTheme="minorHAnsi" w:cstheme="minorHAnsi"/>
          <w:lang w:eastAsia="es-CO"/>
        </w:rPr>
        <w:t xml:space="preserve"> de la Presidencia de Fiduprevisora S.A., es competente para proferir la presente decisión en el curso de las actuaciones propias de la etapa de </w:t>
      </w:r>
      <w:r w:rsidR="001A0CE5">
        <w:rPr>
          <w:rFonts w:asciiTheme="minorHAnsi" w:hAnsiTheme="minorHAnsi" w:cstheme="minorHAnsi"/>
          <w:lang w:eastAsia="es-CO"/>
        </w:rPr>
        <w:t>juzgamiento</w:t>
      </w:r>
      <w:r w:rsidRPr="00CA5E1E">
        <w:rPr>
          <w:rFonts w:asciiTheme="minorHAnsi" w:hAnsiTheme="minorHAnsi" w:cstheme="minorHAnsi"/>
          <w:lang w:eastAsia="es-CO"/>
        </w:rPr>
        <w:t xml:space="preserve"> del proceso disciplinario.</w:t>
      </w:r>
    </w:p>
    <w:p w14:paraId="31F60BCD" w14:textId="77777777" w:rsidR="00C877D4" w:rsidRPr="00CA5E1E" w:rsidRDefault="00C877D4" w:rsidP="00821176">
      <w:pPr>
        <w:spacing w:after="0" w:line="240" w:lineRule="auto"/>
        <w:jc w:val="both"/>
        <w:rPr>
          <w:rFonts w:asciiTheme="minorHAnsi" w:hAnsiTheme="minorHAnsi" w:cstheme="minorHAnsi"/>
          <w:lang w:eastAsia="es-CO"/>
        </w:rPr>
      </w:pPr>
    </w:p>
    <w:p w14:paraId="472F7836" w14:textId="62E075A7" w:rsidR="00C877D4" w:rsidRPr="00CA5E1E" w:rsidRDefault="00917280" w:rsidP="00821176">
      <w:pPr>
        <w:spacing w:after="0" w:line="240" w:lineRule="auto"/>
        <w:jc w:val="both"/>
        <w:rPr>
          <w:rFonts w:asciiTheme="minorHAnsi" w:hAnsiTheme="minorHAnsi" w:cstheme="minorHAnsi"/>
          <w:lang w:eastAsia="es-CO"/>
        </w:rPr>
      </w:pPr>
      <w:r>
        <w:rPr>
          <w:rFonts w:asciiTheme="minorHAnsi" w:hAnsiTheme="minorHAnsi" w:cstheme="minorHAnsi"/>
          <w:lang w:eastAsia="es-CO"/>
        </w:rPr>
        <w:t>La Directora de Procesos Judiciales y Administrativos</w:t>
      </w:r>
      <w:r w:rsidR="00AE7FA2">
        <w:rPr>
          <w:rFonts w:asciiTheme="minorHAnsi" w:hAnsiTheme="minorHAnsi" w:cstheme="minorHAnsi"/>
          <w:lang w:eastAsia="es-CO"/>
        </w:rPr>
        <w:t xml:space="preserve"> con funciones de juzgamiento y</w:t>
      </w:r>
      <w:r w:rsidR="00C877D4" w:rsidRPr="00CA5E1E">
        <w:rPr>
          <w:rFonts w:asciiTheme="minorHAnsi" w:hAnsiTheme="minorHAnsi" w:cstheme="minorHAnsi"/>
          <w:lang w:eastAsia="es-CO"/>
        </w:rPr>
        <w:t xml:space="preserve"> con fundamento en las disposiciones legales y de conformidad con lo establecido en </w:t>
      </w:r>
      <w:r w:rsidR="00DC17AD">
        <w:rPr>
          <w:rFonts w:asciiTheme="minorHAnsi" w:hAnsiTheme="minorHAnsi" w:cstheme="minorHAnsi"/>
          <w:lang w:eastAsia="es-CO"/>
        </w:rPr>
        <w:t>el</w:t>
      </w:r>
      <w:r w:rsidR="00C877D4" w:rsidRPr="00CA5E1E">
        <w:rPr>
          <w:rFonts w:asciiTheme="minorHAnsi" w:hAnsiTheme="minorHAnsi" w:cstheme="minorHAnsi"/>
          <w:lang w:val="es-ES"/>
        </w:rPr>
        <w:t xml:space="preserve"> </w:t>
      </w:r>
      <w:r w:rsidR="007B4160" w:rsidRPr="007B4160">
        <w:rPr>
          <w:rFonts w:asciiTheme="minorHAnsi" w:hAnsiTheme="minorHAnsi" w:cstheme="minorHAnsi"/>
          <w:lang w:val="es-ES"/>
        </w:rPr>
        <w:t>artículo 225E (Adicionado por el artículo 44 de la Ley 2094 de 2020) de la Ley 1952 de 201</w:t>
      </w:r>
      <w:r w:rsidR="007B4160">
        <w:rPr>
          <w:rFonts w:asciiTheme="minorHAnsi" w:hAnsiTheme="minorHAnsi" w:cstheme="minorHAnsi"/>
          <w:lang w:val="es-ES"/>
        </w:rPr>
        <w:t>9</w:t>
      </w:r>
      <w:r w:rsidR="00C877D4" w:rsidRPr="00CA5E1E">
        <w:rPr>
          <w:rFonts w:asciiTheme="minorHAnsi" w:hAnsiTheme="minorHAnsi" w:cstheme="minorHAnsi"/>
          <w:lang w:eastAsia="es-CO"/>
        </w:rPr>
        <w:t xml:space="preserve">, </w:t>
      </w:r>
      <w:r w:rsidRPr="00917280">
        <w:rPr>
          <w:rFonts w:asciiTheme="minorHAnsi" w:hAnsiTheme="minorHAnsi" w:cstheme="minorHAnsi"/>
          <w:lang w:eastAsia="es-CO"/>
        </w:rPr>
        <w:t xml:space="preserve">procede </w:t>
      </w:r>
      <w:r>
        <w:rPr>
          <w:rFonts w:asciiTheme="minorHAnsi" w:hAnsiTheme="minorHAnsi" w:cstheme="minorHAnsi"/>
          <w:lang w:eastAsia="es-CO"/>
        </w:rPr>
        <w:t>la Dirección</w:t>
      </w:r>
      <w:r w:rsidRPr="00917280">
        <w:rPr>
          <w:rFonts w:asciiTheme="minorHAnsi" w:hAnsiTheme="minorHAnsi" w:cstheme="minorHAnsi"/>
          <w:lang w:eastAsia="es-CO"/>
        </w:rPr>
        <w:t>, antes de proferir fallo de primera instancia, a correr traslado a los sujetos procesales para que presenten alegatos de conclusión</w:t>
      </w:r>
      <w:r w:rsidR="009C30CD">
        <w:rPr>
          <w:rFonts w:asciiTheme="minorHAnsi" w:hAnsiTheme="minorHAnsi" w:cstheme="minorHAnsi"/>
          <w:lang w:eastAsia="es-CO"/>
        </w:rPr>
        <w:t xml:space="preserve">, </w:t>
      </w:r>
      <w:r w:rsidR="009C30CD" w:rsidRPr="009C30CD">
        <w:rPr>
          <w:rFonts w:asciiTheme="minorHAnsi" w:hAnsiTheme="minorHAnsi" w:cstheme="minorHAnsi"/>
          <w:lang w:eastAsia="es-CO"/>
        </w:rPr>
        <w:t>dentro de las diligencias de la referencia.</w:t>
      </w:r>
    </w:p>
    <w:p w14:paraId="68235826" w14:textId="77777777" w:rsidR="00C877D4" w:rsidRPr="00CA5E1E" w:rsidRDefault="00C877D4" w:rsidP="00821176">
      <w:pPr>
        <w:spacing w:after="0" w:line="240" w:lineRule="auto"/>
        <w:jc w:val="both"/>
        <w:rPr>
          <w:rFonts w:asciiTheme="minorHAnsi" w:hAnsiTheme="minorHAnsi" w:cstheme="minorHAnsi"/>
          <w:lang w:eastAsia="es-CO"/>
        </w:rPr>
      </w:pPr>
    </w:p>
    <w:p w14:paraId="490A2FFF" w14:textId="5B6E6B60" w:rsidR="00CB2CE7" w:rsidRDefault="0067766F" w:rsidP="00860220">
      <w:pPr>
        <w:pStyle w:val="Prrafodelista"/>
        <w:widowControl w:val="0"/>
        <w:numPr>
          <w:ilvl w:val="0"/>
          <w:numId w:val="9"/>
        </w:numPr>
        <w:spacing w:after="0" w:line="240" w:lineRule="auto"/>
        <w:jc w:val="center"/>
        <w:rPr>
          <w:rFonts w:asciiTheme="minorHAnsi" w:hAnsiTheme="minorHAnsi" w:cstheme="minorHAnsi"/>
          <w:b/>
        </w:rPr>
      </w:pPr>
      <w:r w:rsidRPr="00CA5E1E">
        <w:rPr>
          <w:rFonts w:asciiTheme="minorHAnsi" w:hAnsiTheme="minorHAnsi" w:cstheme="minorHAnsi"/>
          <w:b/>
        </w:rPr>
        <w:t>CONSIDERACIONES</w:t>
      </w:r>
    </w:p>
    <w:p w14:paraId="361A2AB3" w14:textId="77777777" w:rsidR="00CA5E1E" w:rsidRPr="00CA5E1E" w:rsidRDefault="00CA5E1E" w:rsidP="00821176">
      <w:pPr>
        <w:pStyle w:val="Prrafodelista"/>
        <w:widowControl w:val="0"/>
        <w:spacing w:after="0" w:line="240" w:lineRule="auto"/>
        <w:ind w:left="360"/>
        <w:rPr>
          <w:rFonts w:asciiTheme="minorHAnsi" w:hAnsiTheme="minorHAnsi" w:cstheme="minorHAnsi"/>
          <w:b/>
        </w:rPr>
      </w:pPr>
    </w:p>
    <w:p w14:paraId="31648803" w14:textId="04672055" w:rsidR="00917280" w:rsidRPr="00917280" w:rsidRDefault="00917280" w:rsidP="00917280">
      <w:pPr>
        <w:overflowPunct w:val="0"/>
        <w:adjustRightInd w:val="0"/>
        <w:spacing w:after="0" w:line="240" w:lineRule="auto"/>
        <w:contextualSpacing/>
        <w:jc w:val="both"/>
        <w:rPr>
          <w:rFonts w:asciiTheme="minorHAnsi" w:hAnsiTheme="minorHAnsi" w:cstheme="minorHAnsi"/>
          <w:lang w:val="es-ES"/>
        </w:rPr>
      </w:pPr>
      <w:r w:rsidRPr="00917280">
        <w:rPr>
          <w:rFonts w:asciiTheme="minorHAnsi" w:hAnsiTheme="minorHAnsi" w:cstheme="minorHAnsi"/>
          <w:lang w:val="es-ES"/>
        </w:rPr>
        <w:t xml:space="preserve">Una vez practicadas las pruebas ordenadas en la etapa del juicio disciplinario, de conformidad con lo establecido en el artículo 225E (Adicionado por el artículo 44 de la Ley 2094 de 2020) de la Ley 1952 de 2019, procede </w:t>
      </w:r>
      <w:r>
        <w:rPr>
          <w:rFonts w:asciiTheme="minorHAnsi" w:hAnsiTheme="minorHAnsi" w:cstheme="minorHAnsi"/>
          <w:lang w:val="es-ES"/>
        </w:rPr>
        <w:t>la Dirección</w:t>
      </w:r>
      <w:r w:rsidRPr="00917280">
        <w:rPr>
          <w:rFonts w:asciiTheme="minorHAnsi" w:hAnsiTheme="minorHAnsi" w:cstheme="minorHAnsi"/>
          <w:lang w:val="es-ES"/>
        </w:rPr>
        <w:t>, antes de proferir fallo de primera instancia, a correr traslado a los sujetos procesales por el término común de diez (10) días para que presenten alegatos de conclusión, para lo cual el expediente quedará a su disposición en la Secretaría.</w:t>
      </w:r>
    </w:p>
    <w:p w14:paraId="78C29FCC" w14:textId="77777777" w:rsidR="00917280" w:rsidRPr="00917280" w:rsidRDefault="00917280" w:rsidP="00917280">
      <w:pPr>
        <w:overflowPunct w:val="0"/>
        <w:adjustRightInd w:val="0"/>
        <w:spacing w:after="0" w:line="240" w:lineRule="auto"/>
        <w:contextualSpacing/>
        <w:jc w:val="both"/>
        <w:rPr>
          <w:rFonts w:asciiTheme="minorHAnsi" w:hAnsiTheme="minorHAnsi" w:cstheme="minorHAnsi"/>
          <w:lang w:val="es-ES"/>
        </w:rPr>
      </w:pPr>
    </w:p>
    <w:p w14:paraId="7D3EA166" w14:textId="5D79449A" w:rsidR="00FD6414" w:rsidRDefault="00917280" w:rsidP="00917280">
      <w:pPr>
        <w:overflowPunct w:val="0"/>
        <w:adjustRightInd w:val="0"/>
        <w:spacing w:after="0" w:line="240" w:lineRule="auto"/>
        <w:contextualSpacing/>
        <w:jc w:val="both"/>
        <w:rPr>
          <w:rFonts w:asciiTheme="minorHAnsi" w:hAnsiTheme="minorHAnsi" w:cstheme="minorHAnsi"/>
          <w:lang w:val="es-ES"/>
        </w:rPr>
      </w:pPr>
      <w:r w:rsidRPr="00917280">
        <w:rPr>
          <w:rFonts w:asciiTheme="minorHAnsi" w:hAnsiTheme="minorHAnsi" w:cstheme="minorHAnsi"/>
          <w:lang w:val="es-ES"/>
        </w:rPr>
        <w:t>De no presentarse alegatos de conclusión dentro de las condiciones señaladas en la presente providencia, se entenderá que los sujetos procesales no hacen uso de este derecho y se procederá a fallar de fondo.</w:t>
      </w:r>
    </w:p>
    <w:p w14:paraId="7932A121" w14:textId="77777777" w:rsidR="004576CD" w:rsidRPr="00CA5E1E" w:rsidRDefault="004576CD" w:rsidP="00821176">
      <w:pPr>
        <w:overflowPunct w:val="0"/>
        <w:adjustRightInd w:val="0"/>
        <w:spacing w:after="0" w:line="240" w:lineRule="auto"/>
        <w:contextualSpacing/>
        <w:jc w:val="both"/>
        <w:rPr>
          <w:rFonts w:asciiTheme="minorHAnsi" w:hAnsiTheme="minorHAnsi" w:cstheme="minorHAnsi"/>
          <w:lang w:val="es-ES"/>
        </w:rPr>
      </w:pPr>
    </w:p>
    <w:p w14:paraId="66C2B373" w14:textId="6B4A6840" w:rsidR="00FD6414" w:rsidRPr="00CA5E1E" w:rsidRDefault="00FD6414" w:rsidP="00821176">
      <w:pPr>
        <w:overflowPunct w:val="0"/>
        <w:adjustRightInd w:val="0"/>
        <w:spacing w:after="0" w:line="240" w:lineRule="auto"/>
        <w:contextualSpacing/>
        <w:jc w:val="both"/>
        <w:rPr>
          <w:rFonts w:asciiTheme="minorHAnsi" w:hAnsiTheme="minorHAnsi" w:cstheme="minorHAnsi"/>
          <w:lang w:val="es-MX"/>
        </w:rPr>
      </w:pPr>
      <w:r w:rsidRPr="00CA5E1E">
        <w:rPr>
          <w:rFonts w:asciiTheme="minorHAnsi" w:hAnsiTheme="minorHAnsi" w:cstheme="minorHAnsi"/>
          <w:lang w:val="es-ES"/>
        </w:rPr>
        <w:lastRenderedPageBreak/>
        <w:t xml:space="preserve">En mérito de lo expuesto, </w:t>
      </w:r>
      <w:r w:rsidR="004576CD">
        <w:rPr>
          <w:rFonts w:asciiTheme="minorHAnsi" w:hAnsiTheme="minorHAnsi" w:cstheme="minorHAnsi"/>
        </w:rPr>
        <w:t>la</w:t>
      </w:r>
      <w:r w:rsidRPr="00CA5E1E">
        <w:rPr>
          <w:rFonts w:asciiTheme="minorHAnsi" w:hAnsiTheme="minorHAnsi" w:cstheme="minorHAnsi"/>
        </w:rPr>
        <w:t xml:space="preserve"> Director</w:t>
      </w:r>
      <w:r w:rsidR="004576CD">
        <w:rPr>
          <w:rFonts w:asciiTheme="minorHAnsi" w:hAnsiTheme="minorHAnsi" w:cstheme="minorHAnsi"/>
        </w:rPr>
        <w:t>a</w:t>
      </w:r>
      <w:r w:rsidRPr="00CA5E1E">
        <w:rPr>
          <w:rFonts w:asciiTheme="minorHAnsi" w:hAnsiTheme="minorHAnsi" w:cstheme="minorHAnsi"/>
        </w:rPr>
        <w:t xml:space="preserve"> </w:t>
      </w:r>
      <w:r w:rsidR="004576CD">
        <w:rPr>
          <w:rFonts w:asciiTheme="minorHAnsi" w:hAnsiTheme="minorHAnsi" w:cstheme="minorHAnsi"/>
        </w:rPr>
        <w:t>de Procesos Judiciales y Administrativos</w:t>
      </w:r>
      <w:r w:rsidRPr="00CA5E1E">
        <w:rPr>
          <w:rFonts w:asciiTheme="minorHAnsi" w:hAnsiTheme="minorHAnsi" w:cstheme="minorHAnsi"/>
        </w:rPr>
        <w:t xml:space="preserve"> </w:t>
      </w:r>
      <w:r w:rsidRPr="00CA5E1E">
        <w:rPr>
          <w:rFonts w:asciiTheme="minorHAnsi" w:hAnsiTheme="minorHAnsi" w:cstheme="minorHAnsi"/>
          <w:lang w:val="es-MX"/>
        </w:rPr>
        <w:t xml:space="preserve">de Fiduprevisora S.A, </w:t>
      </w:r>
      <w:r w:rsidR="004576CD" w:rsidRPr="004576CD">
        <w:rPr>
          <w:rFonts w:asciiTheme="minorHAnsi" w:hAnsiTheme="minorHAnsi" w:cstheme="minorHAnsi"/>
          <w:lang w:val="es-MX"/>
        </w:rPr>
        <w:t>con funciones de juzgamiento</w:t>
      </w:r>
      <w:r w:rsidRPr="00CA5E1E">
        <w:rPr>
          <w:rFonts w:asciiTheme="minorHAnsi" w:hAnsiTheme="minorHAnsi" w:cstheme="minorHAnsi"/>
          <w:lang w:val="es-MX"/>
        </w:rPr>
        <w:t xml:space="preserve">, </w:t>
      </w:r>
    </w:p>
    <w:p w14:paraId="7E5624B0" w14:textId="77777777" w:rsidR="00CA5E1E" w:rsidRPr="00CA5E1E" w:rsidRDefault="00CA5E1E" w:rsidP="00821176">
      <w:pPr>
        <w:spacing w:after="0" w:line="240" w:lineRule="auto"/>
        <w:rPr>
          <w:rFonts w:asciiTheme="minorHAnsi" w:hAnsiTheme="minorHAnsi" w:cstheme="minorHAnsi"/>
          <w:b/>
          <w:lang w:eastAsia="es-CO"/>
        </w:rPr>
      </w:pPr>
    </w:p>
    <w:p w14:paraId="16A39A13" w14:textId="77777777" w:rsidR="00CB2CE7" w:rsidRPr="00CA5E1E" w:rsidRDefault="0067766F" w:rsidP="00821176">
      <w:pPr>
        <w:spacing w:after="0" w:line="240" w:lineRule="auto"/>
        <w:jc w:val="center"/>
        <w:rPr>
          <w:rFonts w:asciiTheme="minorHAnsi" w:hAnsiTheme="minorHAnsi" w:cstheme="minorHAnsi"/>
          <w:b/>
          <w:lang w:eastAsia="es-CO"/>
        </w:rPr>
      </w:pPr>
      <w:r w:rsidRPr="00CA5E1E">
        <w:rPr>
          <w:rFonts w:asciiTheme="minorHAnsi" w:hAnsiTheme="minorHAnsi" w:cstheme="minorHAnsi"/>
          <w:b/>
          <w:lang w:eastAsia="es-CO"/>
        </w:rPr>
        <w:t>RESUELVE:</w:t>
      </w:r>
    </w:p>
    <w:p w14:paraId="1D5A9AEE" w14:textId="49CA66BA" w:rsidR="00CB2CE7" w:rsidRDefault="00CB2CE7" w:rsidP="00821176">
      <w:pPr>
        <w:spacing w:after="0" w:line="240" w:lineRule="auto"/>
        <w:jc w:val="both"/>
        <w:rPr>
          <w:rFonts w:asciiTheme="minorHAnsi" w:hAnsiTheme="minorHAnsi" w:cstheme="minorHAnsi"/>
          <w:b/>
          <w:lang w:eastAsia="es-CO"/>
        </w:rPr>
      </w:pPr>
    </w:p>
    <w:p w14:paraId="1D92D172" w14:textId="1E0F2A31" w:rsidR="00FD6414" w:rsidRPr="00CA5E1E" w:rsidRDefault="0067766F" w:rsidP="00821176">
      <w:pPr>
        <w:spacing w:after="0" w:line="240" w:lineRule="auto"/>
        <w:contextualSpacing/>
        <w:jc w:val="both"/>
        <w:rPr>
          <w:rFonts w:asciiTheme="minorHAnsi" w:hAnsiTheme="minorHAnsi" w:cstheme="minorHAnsi"/>
          <w:b/>
          <w:bCs/>
        </w:rPr>
      </w:pPr>
      <w:r w:rsidRPr="00CA5E1E">
        <w:rPr>
          <w:rFonts w:asciiTheme="minorHAnsi" w:hAnsiTheme="minorHAnsi" w:cstheme="minorHAnsi"/>
          <w:b/>
          <w:lang w:eastAsia="es-CO"/>
        </w:rPr>
        <w:t xml:space="preserve">PRIMERO: </w:t>
      </w:r>
      <w:r w:rsidR="009B2EB7" w:rsidRPr="009B2EB7">
        <w:rPr>
          <w:rFonts w:asciiTheme="minorHAnsi" w:hAnsiTheme="minorHAnsi" w:cstheme="minorHAnsi"/>
          <w:b/>
          <w:lang w:eastAsia="es-CO"/>
        </w:rPr>
        <w:t>CORRER</w:t>
      </w:r>
      <w:r w:rsidR="009B2EB7" w:rsidRPr="009B2EB7">
        <w:rPr>
          <w:rFonts w:asciiTheme="minorHAnsi" w:hAnsiTheme="minorHAnsi" w:cstheme="minorHAnsi"/>
          <w:bCs/>
          <w:lang w:eastAsia="es-CO"/>
        </w:rPr>
        <w:t xml:space="preserve"> traslado para alegar de conclusión al (a la) investigado(a) ___________o a su apoderado(a) para que en el término de diez (10) días, presente alegatos de conclusión de conformidad con lo expuesto en la parte motiva del presente auto.</w:t>
      </w:r>
    </w:p>
    <w:p w14:paraId="2F311544" w14:textId="77777777" w:rsidR="00D53F38" w:rsidRDefault="00D53F38" w:rsidP="00821176">
      <w:pPr>
        <w:spacing w:after="0" w:line="240" w:lineRule="auto"/>
        <w:jc w:val="both"/>
        <w:rPr>
          <w:rFonts w:asciiTheme="minorHAnsi" w:hAnsiTheme="minorHAnsi" w:cstheme="minorHAnsi"/>
          <w:b/>
        </w:rPr>
      </w:pPr>
    </w:p>
    <w:p w14:paraId="5785C6D0" w14:textId="62C1E051" w:rsidR="00537DDB" w:rsidRDefault="00FD6414" w:rsidP="00537DDB">
      <w:pPr>
        <w:spacing w:after="0" w:line="240" w:lineRule="auto"/>
        <w:contextualSpacing/>
        <w:jc w:val="both"/>
        <w:rPr>
          <w:rFonts w:cstheme="minorHAnsi"/>
        </w:rPr>
      </w:pPr>
      <w:r w:rsidRPr="00CA5E1E">
        <w:rPr>
          <w:rFonts w:asciiTheme="minorHAnsi" w:hAnsiTheme="minorHAnsi" w:cstheme="minorHAnsi"/>
          <w:b/>
        </w:rPr>
        <w:t>SEGUNDO</w:t>
      </w:r>
      <w:r w:rsidRPr="00CA5E1E">
        <w:rPr>
          <w:rFonts w:asciiTheme="minorHAnsi" w:hAnsiTheme="minorHAnsi" w:cstheme="minorHAnsi"/>
        </w:rPr>
        <w:t xml:space="preserve">: </w:t>
      </w:r>
      <w:r w:rsidR="00537DDB" w:rsidRPr="00FA165D">
        <w:rPr>
          <w:rFonts w:cstheme="minorHAnsi"/>
          <w:b/>
        </w:rPr>
        <w:t xml:space="preserve">NOTIFICAR </w:t>
      </w:r>
      <w:r w:rsidR="00537DDB" w:rsidRPr="00FA165D">
        <w:rPr>
          <w:rFonts w:cstheme="minorHAnsi"/>
          <w:bCs/>
        </w:rPr>
        <w:t>personalmente</w:t>
      </w:r>
      <w:r w:rsidR="00537DDB" w:rsidRPr="00FA165D">
        <w:rPr>
          <w:rFonts w:cstheme="minorHAnsi"/>
        </w:rPr>
        <w:t xml:space="preserve"> la decisión a </w:t>
      </w:r>
      <w:r w:rsidR="00537DDB" w:rsidRPr="00FA165D">
        <w:rPr>
          <w:rFonts w:asciiTheme="minorHAnsi" w:eastAsia="Times New Roman" w:hAnsiTheme="minorHAnsi" w:cstheme="minorHAnsi"/>
          <w:b/>
          <w:lang w:eastAsia="es-ES"/>
        </w:rPr>
        <w:t xml:space="preserve">NOMBRE COMPLETO MAYÚSCULA Y NEGRITA DEL DISCIPLINADO, y/o su defensor de oficio, </w:t>
      </w:r>
      <w:r w:rsidR="00537DDB" w:rsidRPr="00FA165D">
        <w:rPr>
          <w:rFonts w:cstheme="minorHAnsi"/>
        </w:rPr>
        <w:t>en los términos del artículo 123 de la Ley 1952 de 2019</w:t>
      </w:r>
      <w:r w:rsidR="00537DDB">
        <w:rPr>
          <w:rFonts w:cstheme="minorHAnsi"/>
        </w:rPr>
        <w:t>.</w:t>
      </w:r>
    </w:p>
    <w:p w14:paraId="0D301FFE" w14:textId="77777777" w:rsidR="00FD6414" w:rsidRPr="00CA5E1E" w:rsidRDefault="00FD6414" w:rsidP="00821176">
      <w:pPr>
        <w:spacing w:after="0" w:line="240" w:lineRule="auto"/>
        <w:contextualSpacing/>
        <w:jc w:val="both"/>
        <w:rPr>
          <w:rFonts w:asciiTheme="minorHAnsi" w:hAnsiTheme="minorHAnsi" w:cstheme="minorHAnsi"/>
          <w:lang w:val="es-MX"/>
        </w:rPr>
      </w:pPr>
    </w:p>
    <w:p w14:paraId="1435FD60" w14:textId="5DA1F140" w:rsidR="00723058" w:rsidRDefault="00FD6414" w:rsidP="00C401E9">
      <w:pPr>
        <w:suppressAutoHyphens w:val="0"/>
        <w:autoSpaceDN/>
        <w:spacing w:after="0" w:line="240" w:lineRule="auto"/>
        <w:jc w:val="both"/>
        <w:textAlignment w:val="auto"/>
        <w:rPr>
          <w:rFonts w:asciiTheme="minorHAnsi" w:hAnsiTheme="minorHAnsi" w:cstheme="minorHAnsi"/>
        </w:rPr>
      </w:pPr>
      <w:r w:rsidRPr="00CA5E1E">
        <w:rPr>
          <w:rFonts w:asciiTheme="minorHAnsi" w:hAnsiTheme="minorHAnsi" w:cstheme="minorHAnsi"/>
          <w:b/>
        </w:rPr>
        <w:t xml:space="preserve">TERCERO: </w:t>
      </w:r>
      <w:r w:rsidR="00C401E9" w:rsidRPr="00C401E9">
        <w:rPr>
          <w:rFonts w:asciiTheme="minorHAnsi" w:hAnsiTheme="minorHAnsi" w:cstheme="minorHAnsi"/>
          <w:bCs/>
        </w:rPr>
        <w:t>Contra la presente decisión no procede recurso alguno</w:t>
      </w:r>
      <w:r w:rsidR="00C401E9">
        <w:rPr>
          <w:rFonts w:asciiTheme="minorHAnsi" w:hAnsiTheme="minorHAnsi" w:cstheme="minorHAnsi"/>
          <w:bCs/>
        </w:rPr>
        <w:t>.</w:t>
      </w:r>
    </w:p>
    <w:p w14:paraId="453BEB9C" w14:textId="77777777" w:rsidR="00723058" w:rsidRDefault="00723058" w:rsidP="00821176">
      <w:pPr>
        <w:spacing w:after="0" w:line="240" w:lineRule="auto"/>
        <w:jc w:val="both"/>
        <w:rPr>
          <w:rFonts w:asciiTheme="minorHAnsi" w:hAnsiTheme="minorHAnsi" w:cstheme="minorHAnsi"/>
        </w:rPr>
      </w:pPr>
    </w:p>
    <w:p w14:paraId="05485CD2" w14:textId="3F0FDCF3" w:rsidR="00FD6414" w:rsidRPr="00CA5E1E" w:rsidRDefault="00C401E9" w:rsidP="00821176">
      <w:pPr>
        <w:spacing w:after="0" w:line="240" w:lineRule="auto"/>
        <w:jc w:val="both"/>
        <w:rPr>
          <w:rFonts w:asciiTheme="minorHAnsi" w:hAnsiTheme="minorHAnsi" w:cstheme="minorHAnsi"/>
          <w:lang w:val="es-MX"/>
        </w:rPr>
      </w:pPr>
      <w:r>
        <w:rPr>
          <w:rFonts w:asciiTheme="minorHAnsi" w:hAnsiTheme="minorHAnsi" w:cstheme="minorHAnsi"/>
          <w:b/>
          <w:lang w:val="es-MX"/>
        </w:rPr>
        <w:t>CUARTO:</w:t>
      </w:r>
      <w:r w:rsidR="0011604C">
        <w:rPr>
          <w:rFonts w:asciiTheme="minorHAnsi" w:hAnsiTheme="minorHAnsi" w:cstheme="minorHAnsi"/>
          <w:b/>
          <w:lang w:val="es-MX"/>
        </w:rPr>
        <w:t xml:space="preserve"> </w:t>
      </w:r>
      <w:r w:rsidR="00FD6414" w:rsidRPr="00CA5E1E">
        <w:rPr>
          <w:rFonts w:asciiTheme="minorHAnsi" w:hAnsiTheme="minorHAnsi" w:cstheme="minorHAnsi"/>
          <w:b/>
          <w:bCs/>
          <w:lang w:val="es-MX"/>
        </w:rPr>
        <w:t xml:space="preserve">LIBRAR </w:t>
      </w:r>
      <w:r w:rsidR="00FD6414" w:rsidRPr="00CA5E1E">
        <w:rPr>
          <w:rFonts w:asciiTheme="minorHAnsi" w:hAnsiTheme="minorHAnsi" w:cstheme="minorHAnsi"/>
          <w:lang w:val="es-MX"/>
        </w:rPr>
        <w:t xml:space="preserve">las comunicaciones y oficios de rigor. </w:t>
      </w:r>
    </w:p>
    <w:p w14:paraId="441DA3AE" w14:textId="146B8D5C" w:rsidR="00FD6414" w:rsidRPr="00CA5E1E" w:rsidRDefault="00FD6414" w:rsidP="00821176">
      <w:pPr>
        <w:spacing w:after="0" w:line="240" w:lineRule="auto"/>
        <w:contextualSpacing/>
        <w:jc w:val="both"/>
        <w:rPr>
          <w:rFonts w:asciiTheme="minorHAnsi" w:hAnsiTheme="minorHAnsi" w:cstheme="minorHAnsi"/>
          <w:lang w:val="es-MX"/>
        </w:rPr>
      </w:pPr>
    </w:p>
    <w:p w14:paraId="401D1750" w14:textId="46D850B0" w:rsidR="00FD6414" w:rsidRPr="00CA5E1E" w:rsidRDefault="00FD6414" w:rsidP="00821176">
      <w:pPr>
        <w:suppressAutoHyphens w:val="0"/>
        <w:autoSpaceDN/>
        <w:spacing w:after="0" w:line="240" w:lineRule="auto"/>
        <w:jc w:val="center"/>
        <w:textAlignment w:val="auto"/>
        <w:rPr>
          <w:rFonts w:asciiTheme="minorHAnsi" w:hAnsiTheme="minorHAnsi" w:cstheme="minorHAnsi"/>
          <w:lang w:eastAsia="es-CO"/>
        </w:rPr>
      </w:pPr>
      <w:r w:rsidRPr="00CA5E1E">
        <w:rPr>
          <w:rFonts w:asciiTheme="minorHAnsi" w:hAnsiTheme="minorHAnsi" w:cstheme="minorHAnsi"/>
          <w:b/>
          <w:lang w:eastAsia="es-CO"/>
        </w:rPr>
        <w:t>COMUNÍQUESE</w:t>
      </w:r>
      <w:r w:rsidR="0011604C">
        <w:rPr>
          <w:rFonts w:asciiTheme="minorHAnsi" w:hAnsiTheme="minorHAnsi" w:cstheme="minorHAnsi"/>
          <w:b/>
          <w:lang w:eastAsia="es-CO"/>
        </w:rPr>
        <w:t>,</w:t>
      </w:r>
      <w:r w:rsidR="00C401E9">
        <w:rPr>
          <w:rFonts w:asciiTheme="minorHAnsi" w:hAnsiTheme="minorHAnsi" w:cstheme="minorHAnsi"/>
          <w:b/>
          <w:lang w:eastAsia="es-CO"/>
        </w:rPr>
        <w:t xml:space="preserve"> </w:t>
      </w:r>
      <w:r w:rsidR="0011604C" w:rsidRPr="0011604C">
        <w:rPr>
          <w:rFonts w:asciiTheme="minorHAnsi" w:hAnsiTheme="minorHAnsi" w:cstheme="minorHAnsi"/>
          <w:b/>
          <w:lang w:eastAsia="es-CO"/>
        </w:rPr>
        <w:t xml:space="preserve">NOTIFÍQUESE </w:t>
      </w:r>
      <w:r w:rsidRPr="00CA5E1E">
        <w:rPr>
          <w:rFonts w:asciiTheme="minorHAnsi" w:hAnsiTheme="minorHAnsi" w:cstheme="minorHAnsi"/>
          <w:b/>
          <w:lang w:eastAsia="es-CO"/>
        </w:rPr>
        <w:t>Y CÚMPLASE</w:t>
      </w:r>
    </w:p>
    <w:p w14:paraId="37142E61" w14:textId="77777777" w:rsidR="00FD6414" w:rsidRPr="00CA5E1E" w:rsidRDefault="00FD6414" w:rsidP="00821176">
      <w:pPr>
        <w:suppressAutoHyphens w:val="0"/>
        <w:autoSpaceDN/>
        <w:spacing w:after="0" w:line="240" w:lineRule="auto"/>
        <w:ind w:left="708"/>
        <w:jc w:val="center"/>
        <w:textAlignment w:val="auto"/>
        <w:rPr>
          <w:rFonts w:asciiTheme="minorHAnsi" w:hAnsiTheme="minorHAnsi" w:cstheme="minorHAnsi"/>
          <w:b/>
          <w:lang w:eastAsia="es-CO"/>
        </w:rPr>
      </w:pPr>
    </w:p>
    <w:p w14:paraId="1C4422AC" w14:textId="77777777" w:rsidR="00FD6414" w:rsidRPr="00CA5E1E" w:rsidRDefault="00FD6414" w:rsidP="00821176">
      <w:pPr>
        <w:suppressAutoHyphens w:val="0"/>
        <w:autoSpaceDN/>
        <w:spacing w:after="0" w:line="240" w:lineRule="auto"/>
        <w:jc w:val="center"/>
        <w:textAlignment w:val="auto"/>
        <w:rPr>
          <w:rFonts w:asciiTheme="minorHAnsi" w:hAnsiTheme="minorHAnsi" w:cstheme="minorHAnsi"/>
          <w:b/>
          <w:lang w:eastAsia="es-CO"/>
        </w:rPr>
      </w:pPr>
    </w:p>
    <w:p w14:paraId="325F90E1" w14:textId="77777777" w:rsidR="000C764E" w:rsidRPr="00675A3C" w:rsidRDefault="000C764E" w:rsidP="000C764E">
      <w:pPr>
        <w:spacing w:after="0" w:line="240" w:lineRule="auto"/>
        <w:rPr>
          <w:rFonts w:asciiTheme="minorHAnsi" w:hAnsiTheme="minorHAnsi" w:cstheme="minorHAnsi"/>
          <w:b/>
        </w:rPr>
      </w:pPr>
    </w:p>
    <w:p w14:paraId="1745D78A" w14:textId="77777777" w:rsidR="000C764E" w:rsidRPr="00675A3C" w:rsidRDefault="000C764E" w:rsidP="000C764E">
      <w:pPr>
        <w:spacing w:after="0" w:line="240" w:lineRule="auto"/>
        <w:jc w:val="center"/>
        <w:rPr>
          <w:rFonts w:asciiTheme="minorHAnsi" w:hAnsiTheme="minorHAnsi" w:cstheme="minorHAnsi"/>
          <w:b/>
        </w:rPr>
      </w:pPr>
      <w:r>
        <w:rPr>
          <w:rFonts w:asciiTheme="minorHAnsi" w:hAnsiTheme="minorHAnsi" w:cstheme="minorHAnsi"/>
          <w:b/>
        </w:rPr>
        <w:t>NOMBRE</w:t>
      </w:r>
    </w:p>
    <w:p w14:paraId="2BCD80BB" w14:textId="4B86FB82" w:rsidR="000C764E" w:rsidRPr="00675A3C" w:rsidRDefault="00C401E9" w:rsidP="00C401E9">
      <w:pPr>
        <w:spacing w:after="0" w:line="240" w:lineRule="auto"/>
        <w:jc w:val="center"/>
        <w:rPr>
          <w:rFonts w:asciiTheme="minorHAnsi" w:hAnsiTheme="minorHAnsi" w:cstheme="minorHAnsi"/>
        </w:rPr>
      </w:pPr>
      <w:r w:rsidRPr="00C401E9">
        <w:rPr>
          <w:rFonts w:asciiTheme="minorHAnsi" w:hAnsiTheme="minorHAnsi" w:cstheme="minorHAnsi"/>
        </w:rPr>
        <w:t>Direc</w:t>
      </w:r>
      <w:r>
        <w:rPr>
          <w:rFonts w:asciiTheme="minorHAnsi" w:hAnsiTheme="minorHAnsi" w:cstheme="minorHAnsi"/>
        </w:rPr>
        <w:t>tora</w:t>
      </w:r>
      <w:r w:rsidRPr="00C401E9">
        <w:rPr>
          <w:rFonts w:asciiTheme="minorHAnsi" w:hAnsiTheme="minorHAnsi" w:cstheme="minorHAnsi"/>
        </w:rPr>
        <w:t xml:space="preserve"> de Procesos Judiciales y Administrativos</w:t>
      </w:r>
    </w:p>
    <w:p w14:paraId="46CE0017" w14:textId="77777777" w:rsidR="00C401E9" w:rsidRDefault="00C401E9" w:rsidP="000C764E">
      <w:pPr>
        <w:spacing w:after="0" w:line="240" w:lineRule="auto"/>
        <w:jc w:val="both"/>
        <w:rPr>
          <w:rFonts w:asciiTheme="minorHAnsi" w:hAnsiTheme="minorHAnsi" w:cstheme="minorHAnsi"/>
          <w:sz w:val="14"/>
          <w:szCs w:val="14"/>
        </w:rPr>
      </w:pPr>
    </w:p>
    <w:p w14:paraId="05D04866" w14:textId="7655709C" w:rsidR="000C764E" w:rsidRPr="00D87EEB" w:rsidRDefault="000C764E" w:rsidP="000C764E">
      <w:pPr>
        <w:spacing w:after="0" w:line="240" w:lineRule="auto"/>
        <w:jc w:val="both"/>
        <w:rPr>
          <w:rFonts w:asciiTheme="minorHAnsi" w:hAnsiTheme="minorHAnsi" w:cstheme="minorHAnsi"/>
          <w:sz w:val="14"/>
          <w:szCs w:val="14"/>
        </w:rPr>
      </w:pPr>
      <w:r w:rsidRPr="00D87EEB">
        <w:rPr>
          <w:rFonts w:asciiTheme="minorHAnsi" w:hAnsiTheme="minorHAnsi" w:cstheme="minorHAnsi"/>
          <w:sz w:val="14"/>
          <w:szCs w:val="14"/>
        </w:rPr>
        <w:t>Proyectó: (Iniciales en Mayúscula del abogado que proyectó)</w:t>
      </w:r>
    </w:p>
    <w:p w14:paraId="227628F4" w14:textId="77777777" w:rsidR="000C764E" w:rsidRPr="009A6B33" w:rsidRDefault="000C764E" w:rsidP="000C764E">
      <w:pPr>
        <w:spacing w:after="0" w:line="240" w:lineRule="auto"/>
        <w:jc w:val="both"/>
        <w:rPr>
          <w:rFonts w:asciiTheme="minorHAnsi" w:hAnsiTheme="minorHAnsi" w:cstheme="minorHAnsi"/>
          <w:sz w:val="14"/>
          <w:szCs w:val="14"/>
        </w:rPr>
      </w:pPr>
      <w:r>
        <w:rPr>
          <w:rFonts w:asciiTheme="minorHAnsi" w:hAnsiTheme="minorHAnsi" w:cstheme="minorHAnsi"/>
          <w:sz w:val="14"/>
          <w:szCs w:val="14"/>
        </w:rPr>
        <w:t>Revis</w:t>
      </w:r>
      <w:r w:rsidRPr="00D87EEB">
        <w:rPr>
          <w:rFonts w:asciiTheme="minorHAnsi" w:hAnsiTheme="minorHAnsi" w:cstheme="minorHAnsi"/>
          <w:sz w:val="14"/>
          <w:szCs w:val="14"/>
        </w:rPr>
        <w:t>ó: (Iniciales en Mayúscula del abogado que proyectó)</w:t>
      </w:r>
    </w:p>
    <w:sectPr w:rsidR="000C764E" w:rsidRPr="009A6B33" w:rsidSect="00BB5A2E">
      <w:headerReference w:type="default" r:id="rId7"/>
      <w:footerReference w:type="default" r:id="rId8"/>
      <w:pgSz w:w="12242" w:h="19442"/>
      <w:pgMar w:top="1702" w:right="1701" w:bottom="2269" w:left="1701" w:header="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CFA0" w14:textId="77777777" w:rsidR="00437CC7" w:rsidRDefault="0067766F">
      <w:pPr>
        <w:spacing w:after="0" w:line="240" w:lineRule="auto"/>
      </w:pPr>
      <w:r>
        <w:separator/>
      </w:r>
    </w:p>
  </w:endnote>
  <w:endnote w:type="continuationSeparator" w:id="0">
    <w:p w14:paraId="33B67373" w14:textId="77777777" w:rsidR="00437CC7" w:rsidRDefault="0067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307" w14:textId="55570845" w:rsidR="0066608E" w:rsidRDefault="0067766F">
    <w:pPr>
      <w:autoSpaceDE w:val="0"/>
      <w:spacing w:after="0" w:line="180" w:lineRule="exact"/>
    </w:pPr>
    <w:r>
      <w:rPr>
        <w:lang w:eastAsia="es-CO"/>
      </w:rPr>
      <w:tab/>
    </w:r>
    <w:r>
      <w:rPr>
        <w:lang w:eastAsia="es-CO"/>
      </w:rPr>
      <w:tab/>
    </w:r>
    <w:r>
      <w:rPr>
        <w:lang w:eastAsia="es-CO"/>
      </w:rPr>
      <w:tab/>
    </w:r>
    <w:r>
      <w:rPr>
        <w:lang w:eastAsia="es-CO"/>
      </w:rPr>
      <w:tab/>
    </w:r>
    <w:r>
      <w:rPr>
        <w:lang w:eastAsia="es-CO"/>
      </w:rPr>
      <w:tab/>
    </w:r>
    <w:r>
      <w:rPr>
        <w:lang w:eastAsia="es-CO"/>
      </w:rPr>
      <w:tab/>
    </w:r>
  </w:p>
  <w:p w14:paraId="0625E2EE" w14:textId="6DB1DB6F"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Control Disciplinario</w:t>
    </w:r>
  </w:p>
  <w:p w14:paraId="767F7A7B" w14:textId="1DDAF0D1" w:rsidR="00B97E2B" w:rsidRPr="00C92CD2" w:rsidRDefault="00B97E2B" w:rsidP="00B97E2B">
    <w:pPr>
      <w:overflowPunct w:val="0"/>
      <w:autoSpaceDE w:val="0"/>
      <w:spacing w:after="0" w:line="240" w:lineRule="auto"/>
      <w:rPr>
        <w:rFonts w:asciiTheme="minorHAnsi" w:hAnsiTheme="minorHAnsi" w:cstheme="minorHAnsi"/>
        <w:sz w:val="14"/>
        <w:szCs w:val="14"/>
      </w:rPr>
    </w:pPr>
    <w:r w:rsidRPr="00231AF9">
      <w:rPr>
        <w:rFonts w:eastAsia="Times New Roman" w:cs="Calibri"/>
        <w:noProof/>
        <w:color w:val="000000"/>
        <w:lang w:eastAsia="es-CO"/>
      </w:rPr>
      <w:drawing>
        <wp:anchor distT="0" distB="0" distL="114300" distR="114300" simplePos="0" relativeHeight="251662848" behindDoc="0" locked="0" layoutInCell="1" allowOverlap="1" wp14:anchorId="002E377E" wp14:editId="05F7BEB1">
          <wp:simplePos x="0" y="0"/>
          <wp:positionH relativeFrom="margin">
            <wp:align>right</wp:align>
          </wp:positionH>
          <wp:positionV relativeFrom="paragraph">
            <wp:posOffset>10795</wp:posOffset>
          </wp:positionV>
          <wp:extent cx="1685925" cy="285750"/>
          <wp:effectExtent l="0" t="0" r="9525" b="0"/>
          <wp:wrapNone/>
          <wp:docPr id="48" name="Imagen 48" descr="Imagen que contiene Texto&#10;&#10;Descripción generada automáticamente">
            <a:extLst xmlns:a="http://schemas.openxmlformats.org/drawingml/2006/main">
              <a:ext uri="{FF2B5EF4-FFF2-40B4-BE49-F238E27FC236}">
                <a16:creationId xmlns:a16="http://schemas.microsoft.com/office/drawing/2014/main" id="{87A4CBC0-6FAB-9AE7-7D4C-C32596638065}"/>
              </a:ext>
            </a:extLst>
          </wp:docPr>
          <wp:cNvGraphicFramePr/>
          <a:graphic xmlns:a="http://schemas.openxmlformats.org/drawingml/2006/main">
            <a:graphicData uri="http://schemas.openxmlformats.org/drawingml/2006/picture">
              <pic:pic xmlns:pic="http://schemas.openxmlformats.org/drawingml/2006/picture">
                <pic:nvPicPr>
                  <pic:cNvPr id="2058" name="Imagen 2" descr="Imagen que contiene Texto&#10;&#10;Descripción generada automáticamente">
                    <a:extLst>
                      <a:ext uri="{FF2B5EF4-FFF2-40B4-BE49-F238E27FC236}">
                        <a16:creationId xmlns:a16="http://schemas.microsoft.com/office/drawing/2014/main" id="{87A4CBC0-6FAB-9AE7-7D4C-C32596638065}"/>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CD2">
      <w:rPr>
        <w:rFonts w:asciiTheme="minorHAnsi" w:hAnsiTheme="minorHAnsi" w:cstheme="minorHAnsi"/>
        <w:sz w:val="14"/>
        <w:szCs w:val="14"/>
      </w:rPr>
      <w:t>ucdisciplinario@fiduprevisora.com.co</w:t>
    </w:r>
  </w:p>
  <w:p w14:paraId="138ABF77" w14:textId="035787FA"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 xml:space="preserve">Calle 72 No. 10-03 Oficina </w:t>
    </w:r>
    <w:r w:rsidR="00C55902">
      <w:rPr>
        <w:rFonts w:asciiTheme="minorHAnsi" w:hAnsiTheme="minorHAnsi" w:cstheme="minorHAnsi"/>
        <w:sz w:val="14"/>
        <w:szCs w:val="14"/>
      </w:rPr>
      <w:t>108</w:t>
    </w:r>
  </w:p>
  <w:p w14:paraId="4CDFF898" w14:textId="77777777"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PBX: (601) 7566633 Ext.33604</w:t>
    </w:r>
  </w:p>
  <w:p w14:paraId="4750BA2E" w14:textId="77777777" w:rsidR="00B97E2B" w:rsidRDefault="00B97E2B" w:rsidP="00B97E2B">
    <w:pPr>
      <w:autoSpaceDE w:val="0"/>
      <w:spacing w:after="0" w:line="180" w:lineRule="exact"/>
      <w:ind w:left="708" w:hanging="708"/>
    </w:pPr>
    <w:r w:rsidRPr="00C92CD2">
      <w:rPr>
        <w:rFonts w:asciiTheme="minorHAnsi" w:hAnsiTheme="minorHAnsi" w:cstheme="minorHAnsi"/>
        <w:sz w:val="14"/>
        <w:szCs w:val="14"/>
      </w:rPr>
      <w:t>Celular: 3144423898</w:t>
    </w:r>
    <w:r w:rsidRPr="00A42C4A">
      <w:rPr>
        <w:rFonts w:eastAsia="Times New Roman" w:cs="Calibri"/>
        <w:noProof/>
        <w:color w:val="000000"/>
        <w:lang w:eastAsia="es-CO"/>
      </w:rPr>
      <w:t xml:space="preserve"> </w:t>
    </w:r>
  </w:p>
  <w:p w14:paraId="7F03642D" w14:textId="77777777" w:rsidR="00B97E2B" w:rsidRDefault="00B97E2B" w:rsidP="00B97E2B">
    <w:pPr>
      <w:autoSpaceDE w:val="0"/>
      <w:spacing w:after="0" w:line="180" w:lineRule="exact"/>
      <w:jc w:val="right"/>
      <w:rPr>
        <w:lang w:eastAsia="es-CO"/>
      </w:rPr>
    </w:pPr>
  </w:p>
  <w:p w14:paraId="5C0868F4" w14:textId="2679D078" w:rsidR="003B1F19" w:rsidRDefault="00B97E2B" w:rsidP="00723058">
    <w:pPr>
      <w:autoSpaceDE w:val="0"/>
      <w:spacing w:after="0" w:line="180" w:lineRule="exact"/>
      <w:jc w:val="right"/>
    </w:pPr>
    <w:r>
      <w:rPr>
        <w:lang w:eastAsia="es-CO"/>
      </w:rPr>
      <w:tab/>
      <w:t xml:space="preserve">                                                              </w:t>
    </w:r>
    <w:r>
      <w:rPr>
        <w:sz w:val="16"/>
        <w:lang w:eastAsia="es-CO"/>
      </w:rPr>
      <w:t xml:space="preserve">                                                                                     </w:t>
    </w:r>
    <w:r>
      <w:rPr>
        <w:sz w:val="16"/>
        <w:lang w:val="es-ES" w:eastAsia="es-CO"/>
      </w:rPr>
      <w:t xml:space="preserve">Pág. </w:t>
    </w:r>
    <w:r>
      <w:rPr>
        <w:sz w:val="16"/>
        <w:lang w:val="es-ES" w:eastAsia="es-CO"/>
      </w:rPr>
      <w:fldChar w:fldCharType="begin"/>
    </w:r>
    <w:r>
      <w:rPr>
        <w:sz w:val="16"/>
        <w:lang w:val="es-ES" w:eastAsia="es-CO"/>
      </w:rPr>
      <w:instrText xml:space="preserve"> PAGE </w:instrText>
    </w:r>
    <w:r>
      <w:rPr>
        <w:sz w:val="16"/>
        <w:lang w:val="es-ES" w:eastAsia="es-CO"/>
      </w:rPr>
      <w:fldChar w:fldCharType="separate"/>
    </w:r>
    <w:r>
      <w:rPr>
        <w:sz w:val="16"/>
        <w:lang w:val="es-ES"/>
      </w:rPr>
      <w:t>1</w:t>
    </w:r>
    <w:r>
      <w:rPr>
        <w:sz w:val="16"/>
        <w:lang w:val="es-ES" w:eastAsia="es-CO"/>
      </w:rPr>
      <w:fldChar w:fldCharType="end"/>
    </w:r>
    <w:r>
      <w:rPr>
        <w:sz w:val="16"/>
        <w:lang w:val="es-ES" w:eastAsia="es-CO"/>
      </w:rPr>
      <w:t xml:space="preserve"> | </w:t>
    </w:r>
    <w:r>
      <w:rPr>
        <w:sz w:val="16"/>
        <w:lang w:val="es-ES" w:eastAsia="es-CO"/>
      </w:rPr>
      <w:fldChar w:fldCharType="begin"/>
    </w:r>
    <w:r>
      <w:rPr>
        <w:sz w:val="16"/>
        <w:lang w:val="es-ES" w:eastAsia="es-CO"/>
      </w:rPr>
      <w:instrText xml:space="preserve"> NUMPAGES \* ARABIC </w:instrText>
    </w:r>
    <w:r>
      <w:rPr>
        <w:sz w:val="16"/>
        <w:lang w:val="es-ES" w:eastAsia="es-CO"/>
      </w:rPr>
      <w:fldChar w:fldCharType="separate"/>
    </w:r>
    <w:r>
      <w:rPr>
        <w:sz w:val="16"/>
        <w:lang w:val="es-ES"/>
      </w:rPr>
      <w:t>4</w:t>
    </w:r>
    <w:r>
      <w:rPr>
        <w:sz w:val="16"/>
        <w:lang w:val="es-ES" w:eastAsia="es-CO"/>
      </w:rPr>
      <w:fldChar w:fldCharType="end"/>
    </w:r>
    <w:r>
      <w:rPr>
        <w:sz w:val="16"/>
        <w:lang w:eastAsia="es-CO"/>
      </w:rPr>
      <w:t xml:space="preserve"> </w:t>
    </w:r>
  </w:p>
  <w:p w14:paraId="27E541E0" w14:textId="49AF3999" w:rsidR="0066608E" w:rsidRDefault="006E5AE5">
    <w:pPr>
      <w:autoSpaceDE w:val="0"/>
      <w:spacing w:after="0" w:line="180" w:lineRule="exact"/>
      <w:ind w:left="708" w:hanging="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BCD1" w14:textId="77777777" w:rsidR="00437CC7" w:rsidRDefault="0067766F">
      <w:pPr>
        <w:spacing w:after="0" w:line="240" w:lineRule="auto"/>
      </w:pPr>
      <w:r>
        <w:rPr>
          <w:color w:val="000000"/>
        </w:rPr>
        <w:separator/>
      </w:r>
    </w:p>
  </w:footnote>
  <w:footnote w:type="continuationSeparator" w:id="0">
    <w:p w14:paraId="5CB75940" w14:textId="77777777" w:rsidR="00437CC7" w:rsidRDefault="0067766F">
      <w:pPr>
        <w:spacing w:after="0" w:line="240" w:lineRule="auto"/>
      </w:pPr>
      <w:r>
        <w:continuationSeparator/>
      </w:r>
    </w:p>
  </w:footnote>
  <w:footnote w:id="1">
    <w:p w14:paraId="05012351" w14:textId="77777777" w:rsidR="00C877D4" w:rsidRPr="006E5AE5"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6E5AE5">
        <w:rPr>
          <w:rStyle w:val="Refdenotaalpie"/>
          <w:rFonts w:asciiTheme="minorHAnsi" w:hAnsiTheme="minorHAnsi" w:cstheme="minorHAnsi"/>
          <w:b/>
          <w:iCs/>
          <w:sz w:val="12"/>
          <w:szCs w:val="12"/>
        </w:rPr>
        <w:footnoteRef/>
      </w:r>
      <w:r w:rsidRPr="006E5AE5">
        <w:rPr>
          <w:rFonts w:asciiTheme="minorHAnsi" w:hAnsiTheme="minorHAnsi" w:cstheme="minorHAnsi"/>
          <w:b/>
          <w:iCs/>
          <w:sz w:val="12"/>
          <w:szCs w:val="12"/>
        </w:rPr>
        <w:t xml:space="preserve"> </w:t>
      </w:r>
      <w:r w:rsidRPr="006E5AE5">
        <w:rPr>
          <w:rFonts w:asciiTheme="minorHAnsi" w:hAnsiTheme="minorHAnsi" w:cstheme="minorHAnsi"/>
          <w:iCs/>
          <w:sz w:val="12"/>
          <w:szCs w:val="12"/>
        </w:rPr>
        <w:t xml:space="preserve">Modificado por el artículo 1 de la Ley 2094 de 2021. </w:t>
      </w:r>
      <w:r w:rsidRPr="006E5AE5">
        <w:rPr>
          <w:rFonts w:asciiTheme="minorHAnsi" w:eastAsia="Times New Roman" w:hAnsiTheme="minorHAnsi" w:cstheme="minorHAnsi"/>
          <w:iCs/>
          <w:sz w:val="12"/>
          <w:szCs w:val="12"/>
          <w:lang w:eastAsia="es-CO"/>
        </w:rPr>
        <w:t>Modificase el Artículo </w:t>
      </w:r>
      <w:hyperlink r:id="rId1" w:anchor="2" w:history="1">
        <w:r w:rsidRPr="006E5AE5">
          <w:rPr>
            <w:rFonts w:asciiTheme="minorHAnsi" w:eastAsia="Times New Roman" w:hAnsiTheme="minorHAnsi" w:cstheme="minorHAnsi"/>
            <w:iCs/>
            <w:sz w:val="12"/>
            <w:szCs w:val="12"/>
            <w:u w:val="single"/>
            <w:lang w:eastAsia="es-CO"/>
          </w:rPr>
          <w:t>2</w:t>
        </w:r>
      </w:hyperlink>
      <w:r w:rsidRPr="006E5AE5">
        <w:rPr>
          <w:rFonts w:asciiTheme="minorHAnsi" w:eastAsia="Times New Roman" w:hAnsiTheme="minorHAnsi" w:cstheme="minorHAnsi"/>
          <w:iCs/>
          <w:sz w:val="12"/>
          <w:szCs w:val="12"/>
          <w:lang w:eastAsia="es-CO"/>
        </w:rPr>
        <w:t> de la Ley 1952 de 2019, el cual quedará así:</w:t>
      </w:r>
    </w:p>
    <w:p w14:paraId="17B49E3E"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b/>
          <w:bCs/>
          <w:iCs/>
          <w:sz w:val="12"/>
          <w:szCs w:val="12"/>
          <w:lang w:eastAsia="es-CO"/>
        </w:rPr>
        <w:t>ARTÍCULO</w:t>
      </w:r>
      <w:bookmarkStart w:id="0" w:name="2"/>
      <w:bookmarkEnd w:id="0"/>
      <w:r w:rsidRPr="006E5AE5">
        <w:rPr>
          <w:rFonts w:asciiTheme="minorHAnsi" w:eastAsia="Times New Roman" w:hAnsiTheme="minorHAnsi" w:cstheme="minorHAnsi"/>
          <w:b/>
          <w:bCs/>
          <w:iCs/>
          <w:sz w:val="12"/>
          <w:szCs w:val="12"/>
          <w:lang w:eastAsia="es-CO"/>
        </w:rPr>
        <w:t>  2</w:t>
      </w:r>
      <w:r w:rsidRPr="006E5AE5">
        <w:rPr>
          <w:rFonts w:asciiTheme="minorHAnsi" w:eastAsia="Times New Roman" w:hAnsiTheme="minorHAnsi" w:cstheme="minorHAnsi"/>
          <w:iCs/>
          <w:sz w:val="12"/>
          <w:szCs w:val="12"/>
          <w:lang w:eastAsia="es-CO"/>
        </w:rPr>
        <w:t>. </w:t>
      </w:r>
      <w:r w:rsidRPr="006E5AE5">
        <w:rPr>
          <w:rFonts w:asciiTheme="minorHAnsi" w:eastAsia="Times New Roman" w:hAnsiTheme="minorHAnsi" w:cstheme="minorHAnsi"/>
          <w:b/>
          <w:bCs/>
          <w:iCs/>
          <w:sz w:val="12"/>
          <w:szCs w:val="12"/>
          <w:lang w:eastAsia="es-CO"/>
        </w:rPr>
        <w:t>Titularidad de la potestad disciplinaria. funciones jurisdiccionales de la Procuraduría General de la Nación e independencia de la acción.</w:t>
      </w:r>
      <w:r w:rsidRPr="006E5AE5">
        <w:rPr>
          <w:rFonts w:asciiTheme="minorHAnsi" w:eastAsia="Times New Roman" w:hAnsiTheme="minorHAnsi" w:cstheme="minorHAnsi"/>
          <w:iCs/>
          <w:sz w:val="12"/>
          <w:szCs w:val="12"/>
          <w:lang w:eastAsia="es-CO"/>
        </w:rPr>
        <w:t> El Estado es el titular de la potestad disciplinaria.</w:t>
      </w:r>
    </w:p>
    <w:p w14:paraId="07276365"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Se le atribuye a la Procuraduría General de la Nación funciones jurisdiccionales para la vigilancia superior de la conducta oficial de quienes desempeñan funciones públicas, inclusive los de elección popular y adelantar las investigaciones disciplinarias e imponer las sanciones de destitución, suspensión e inhabilidad y las demás establecidas en la ley.</w:t>
      </w:r>
    </w:p>
    <w:p w14:paraId="0D1CCABC"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Las decisiones sancionatorias que pongan fin a la actuación disciplinaria y producto de las funciones jurisdiccionales que se le reconocen a la Procuraduría a General de la Nación serán susceptibles de ser revisadas ante la jurisdicción de lo contencioso -administrativo, en los términos establecidos en esta Ley.</w:t>
      </w:r>
    </w:p>
    <w:p w14:paraId="249A507F"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Para los servidores públicos de elección popular, la ejecución de la sanción se supeditará a lo que decida la autoridad judicial.</w:t>
      </w:r>
    </w:p>
    <w:p w14:paraId="4F0EF130"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14:paraId="0B47A6DB"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 xml:space="preserve">A la Comisión Nacional de Disciplina Judicial y a las Comisiones Seccionales de Disciplina Judicial les corresponde ejercer la acción disciplinaria contra los funcionarios y empleados judiciales, incluidos los de la Fiscalía General de la Nación, así como contra los particulares disciplinables conforme a esta ley y demás autoridades que administran justicia de manera temporal </w:t>
      </w:r>
      <w:proofErr w:type="gramStart"/>
      <w:r w:rsidRPr="006E5AE5">
        <w:rPr>
          <w:rFonts w:asciiTheme="minorHAnsi" w:eastAsia="Times New Roman" w:hAnsiTheme="minorHAnsi" w:cstheme="minorHAnsi"/>
          <w:iCs/>
          <w:sz w:val="12"/>
          <w:szCs w:val="12"/>
          <w:lang w:eastAsia="es-CO"/>
        </w:rPr>
        <w:t>e</w:t>
      </w:r>
      <w:proofErr w:type="gramEnd"/>
      <w:r w:rsidRPr="006E5AE5">
        <w:rPr>
          <w:rFonts w:asciiTheme="minorHAnsi" w:eastAsia="Times New Roman" w:hAnsiTheme="minorHAnsi" w:cstheme="minorHAnsi"/>
          <w:iCs/>
          <w:sz w:val="12"/>
          <w:szCs w:val="12"/>
          <w:lang w:eastAsia="es-CO"/>
        </w:rPr>
        <w:t xml:space="preserve"> permanente.</w:t>
      </w:r>
    </w:p>
    <w:p w14:paraId="56D8C446"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La competencia de la Procuraduría General de la Nación es privativa para conocer de los procesos disciplinarios contra los servidores públicos de elección popular y de sus propios servidores, salvo los que tengan fuero especial y el régimen ético disciplinario en el ejercicio de la función de conformidad con el Artículo </w:t>
      </w:r>
      <w:hyperlink r:id="rId2" w:anchor="185" w:history="1">
        <w:r w:rsidRPr="006E5AE5">
          <w:rPr>
            <w:rFonts w:asciiTheme="minorHAnsi" w:eastAsia="Times New Roman" w:hAnsiTheme="minorHAnsi" w:cstheme="minorHAnsi"/>
            <w:iCs/>
            <w:sz w:val="12"/>
            <w:szCs w:val="12"/>
            <w:u w:val="single"/>
            <w:lang w:eastAsia="es-CO"/>
          </w:rPr>
          <w:t>185</w:t>
        </w:r>
      </w:hyperlink>
      <w:r w:rsidRPr="006E5AE5">
        <w:rPr>
          <w:rFonts w:asciiTheme="minorHAnsi" w:eastAsia="Times New Roman" w:hAnsiTheme="minorHAnsi" w:cstheme="minorHAnsi"/>
          <w:iCs/>
          <w:sz w:val="12"/>
          <w:szCs w:val="12"/>
          <w:lang w:eastAsia="es-CO"/>
        </w:rPr>
        <w:t> de la Constitución Política.</w:t>
      </w:r>
    </w:p>
    <w:p w14:paraId="54EE8B6B"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La acción disciplinaria es independiente de cualquiera otra que pueda surgir de la </w:t>
      </w:r>
      <w:r w:rsidRPr="006E5AE5">
        <w:rPr>
          <w:rFonts w:asciiTheme="minorHAnsi" w:hAnsiTheme="minorHAnsi" w:cstheme="minorHAnsi"/>
          <w:iCs/>
          <w:sz w:val="12"/>
          <w:szCs w:val="12"/>
          <w:shd w:val="clear" w:color="auto" w:fill="FFFFFF"/>
        </w:rPr>
        <w:t>comisión de la falta.</w:t>
      </w:r>
    </w:p>
  </w:footnote>
  <w:footnote w:id="2">
    <w:p w14:paraId="5E67677A"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Style w:val="Refdenotaalpie"/>
          <w:b/>
          <w:bCs/>
          <w:iCs/>
          <w:sz w:val="12"/>
          <w:szCs w:val="12"/>
        </w:rPr>
        <w:footnoteRef/>
      </w:r>
      <w:r w:rsidRPr="006E5AE5">
        <w:rPr>
          <w:b/>
          <w:bCs/>
          <w:iCs/>
          <w:sz w:val="12"/>
          <w:szCs w:val="12"/>
        </w:rPr>
        <w:t xml:space="preserve"> </w:t>
      </w:r>
      <w:r w:rsidRPr="006E5AE5">
        <w:rPr>
          <w:rFonts w:asciiTheme="minorHAnsi" w:eastAsia="Times New Roman" w:hAnsiTheme="minorHAnsi" w:cstheme="minorHAnsi"/>
          <w:b/>
          <w:bCs/>
          <w:iCs/>
          <w:sz w:val="12"/>
          <w:szCs w:val="12"/>
          <w:lang w:eastAsia="es-CO"/>
        </w:rPr>
        <w:t>ARTICULO  12.</w:t>
      </w:r>
      <w:r w:rsidRPr="006E5AE5">
        <w:rPr>
          <w:rFonts w:asciiTheme="minorHAnsi" w:eastAsia="Times New Roman" w:hAnsiTheme="minorHAnsi" w:cstheme="minorHAnsi"/>
          <w:iCs/>
          <w:sz w:val="12"/>
          <w:szCs w:val="12"/>
          <w:lang w:eastAsia="es-CO"/>
        </w:rPr>
        <w:t xml:space="preserve"> </w:t>
      </w:r>
      <w:r w:rsidRPr="006E5AE5">
        <w:rPr>
          <w:rFonts w:asciiTheme="minorHAnsi" w:eastAsia="Times New Roman" w:hAnsiTheme="minorHAnsi" w:cstheme="minorHAnsi"/>
          <w:b/>
          <w:bCs/>
          <w:iCs/>
          <w:sz w:val="12"/>
          <w:szCs w:val="12"/>
          <w:lang w:eastAsia="es-CO"/>
        </w:rPr>
        <w:t>Debido proceso</w:t>
      </w:r>
      <w:r w:rsidRPr="006E5AE5">
        <w:rPr>
          <w:rFonts w:asciiTheme="minorHAnsi" w:eastAsia="Times New Roman" w:hAnsiTheme="minorHAnsi" w:cstheme="minorHAnsi"/>
          <w:iCs/>
          <w:sz w:val="12"/>
          <w:szCs w:val="12"/>
          <w:lang w:eastAsia="es-CO"/>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w:t>
      </w:r>
    </w:p>
    <w:p w14:paraId="3FF9AAD5" w14:textId="77777777" w:rsidR="00C877D4" w:rsidRPr="006E5AE5" w:rsidRDefault="00C877D4" w:rsidP="00C877D4">
      <w:pPr>
        <w:pStyle w:val="Textonotapie"/>
        <w:jc w:val="both"/>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En el proceso disciplinario debe garantizarse que el funcionario instructor no sea el mismo que adelante el juzgamiento</w:t>
      </w:r>
    </w:p>
  </w:footnote>
  <w:footnote w:id="3">
    <w:p w14:paraId="681B7C5A" w14:textId="77777777" w:rsidR="00C877D4" w:rsidRPr="006E5AE5"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6E5AE5">
        <w:rPr>
          <w:rStyle w:val="Refdenotaalpie"/>
          <w:rFonts w:asciiTheme="minorHAnsi" w:hAnsiTheme="minorHAnsi" w:cstheme="minorHAnsi"/>
          <w:b/>
          <w:iCs/>
          <w:sz w:val="12"/>
          <w:szCs w:val="12"/>
        </w:rPr>
        <w:footnoteRef/>
      </w:r>
      <w:r w:rsidRPr="006E5AE5">
        <w:rPr>
          <w:rFonts w:asciiTheme="minorHAnsi" w:hAnsiTheme="minorHAnsi" w:cstheme="minorHAnsi"/>
          <w:b/>
          <w:iCs/>
          <w:sz w:val="12"/>
          <w:szCs w:val="12"/>
        </w:rPr>
        <w:t xml:space="preserve"> </w:t>
      </w:r>
      <w:r w:rsidRPr="006E5AE5">
        <w:rPr>
          <w:rFonts w:asciiTheme="minorHAnsi" w:eastAsia="Times New Roman" w:hAnsiTheme="minorHAnsi" w:cstheme="minorHAnsi"/>
          <w:b/>
          <w:bCs/>
          <w:iCs/>
          <w:sz w:val="12"/>
          <w:szCs w:val="12"/>
          <w:lang w:eastAsia="es-CO"/>
        </w:rPr>
        <w:t>ARTICULO</w:t>
      </w:r>
      <w:bookmarkStart w:id="1" w:name="83"/>
      <w:bookmarkEnd w:id="1"/>
      <w:r w:rsidRPr="006E5AE5">
        <w:rPr>
          <w:rFonts w:asciiTheme="minorHAnsi" w:eastAsia="Times New Roman" w:hAnsiTheme="minorHAnsi" w:cstheme="minorHAnsi"/>
          <w:b/>
          <w:bCs/>
          <w:iCs/>
          <w:sz w:val="12"/>
          <w:szCs w:val="12"/>
          <w:lang w:eastAsia="es-CO"/>
        </w:rPr>
        <w:t>  83</w:t>
      </w:r>
      <w:r w:rsidRPr="006E5AE5">
        <w:rPr>
          <w:rFonts w:asciiTheme="minorHAnsi" w:eastAsia="Times New Roman" w:hAnsiTheme="minorHAnsi" w:cstheme="minorHAnsi"/>
          <w:iCs/>
          <w:sz w:val="12"/>
          <w:szCs w:val="12"/>
          <w:lang w:eastAsia="es-CO"/>
        </w:rPr>
        <w:t xml:space="preserve">. </w:t>
      </w:r>
      <w:r w:rsidRPr="006E5AE5">
        <w:rPr>
          <w:rFonts w:asciiTheme="minorHAnsi" w:eastAsia="Times New Roman" w:hAnsiTheme="minorHAnsi" w:cstheme="minorHAnsi"/>
          <w:b/>
          <w:bCs/>
          <w:iCs/>
          <w:sz w:val="12"/>
          <w:szCs w:val="12"/>
          <w:lang w:eastAsia="es-CO"/>
        </w:rPr>
        <w:t>Ejercicio de la acción disciplinaria</w:t>
      </w:r>
      <w:r w:rsidRPr="006E5AE5">
        <w:rPr>
          <w:rFonts w:asciiTheme="minorHAnsi" w:eastAsia="Times New Roman" w:hAnsiTheme="minorHAnsi" w:cstheme="minorHAnsi"/>
          <w:iCs/>
          <w:sz w:val="12"/>
          <w:szCs w:val="12"/>
          <w:lang w:eastAsia="es-CO"/>
        </w:rPr>
        <w:t>. La acción disciplinaria se ejerce por la Procuraduría General de la Nación; la Comisión Nacional de Disciplina Judicial y las Comisiones Seccionales de Disciplina Judicial, </w:t>
      </w:r>
      <w:r w:rsidRPr="006E5AE5">
        <w:rPr>
          <w:rFonts w:asciiTheme="minorHAnsi" w:eastAsia="Times New Roman" w:hAnsiTheme="minorHAnsi" w:cstheme="minorHAnsi"/>
          <w:iCs/>
          <w:sz w:val="12"/>
          <w:szCs w:val="12"/>
          <w:u w:val="single"/>
          <w:lang w:eastAsia="es-CO"/>
        </w:rPr>
        <w:t>o quienes hagan sus veces</w:t>
      </w:r>
      <w:r w:rsidRPr="006E5AE5">
        <w:rPr>
          <w:rFonts w:asciiTheme="minorHAnsi" w:eastAsia="Times New Roman" w:hAnsiTheme="minorHAnsi" w:cstheme="minorHAnsi"/>
          <w:iCs/>
          <w:sz w:val="12"/>
          <w:szCs w:val="12"/>
          <w:lang w:eastAsia="es-CO"/>
        </w:rPr>
        <w:t>; la Superintendencia de Notariado y Registro; los Personeros Distritales y Municipales; las Oficinas de Control Disciplinario Interno establecidas en todas las ramas, órganos y entidades del Estado; y los nominadores.</w:t>
      </w:r>
    </w:p>
    <w:p w14:paraId="017E73C6"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6E5AE5">
        <w:rPr>
          <w:rFonts w:asciiTheme="minorHAnsi" w:eastAsia="Times New Roman" w:hAnsiTheme="minorHAnsi" w:cstheme="minorHAnsi"/>
          <w:iCs/>
          <w:sz w:val="12"/>
          <w:szCs w:val="12"/>
          <w:lang w:eastAsia="es-CO"/>
        </w:rPr>
        <w:t>El poder disciplinario de los Personeros Distritales y Municipales no se ejercerá respecto del Alcalde y de los Concejales. Tal competencia corresponde a la Procuraduría General de la Nación.</w:t>
      </w:r>
    </w:p>
  </w:footnote>
  <w:footnote w:id="4">
    <w:p w14:paraId="6B2C15B2" w14:textId="77777777" w:rsidR="00C877D4" w:rsidRPr="006E5AE5"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6E5AE5">
        <w:rPr>
          <w:rStyle w:val="Refdenotaalpie"/>
          <w:rFonts w:asciiTheme="minorHAnsi" w:hAnsiTheme="minorHAnsi" w:cstheme="minorHAnsi"/>
          <w:b/>
          <w:iCs/>
          <w:sz w:val="12"/>
          <w:szCs w:val="12"/>
        </w:rPr>
        <w:footnoteRef/>
      </w:r>
      <w:r w:rsidRPr="006E5AE5">
        <w:rPr>
          <w:rFonts w:asciiTheme="minorHAnsi" w:hAnsiTheme="minorHAnsi" w:cstheme="minorHAnsi"/>
          <w:b/>
          <w:iCs/>
          <w:sz w:val="12"/>
          <w:szCs w:val="12"/>
        </w:rPr>
        <w:t xml:space="preserve"> </w:t>
      </w:r>
      <w:r w:rsidRPr="006E5AE5">
        <w:rPr>
          <w:rFonts w:asciiTheme="minorHAnsi" w:hAnsiTheme="minorHAnsi" w:cstheme="minorHAnsi"/>
          <w:iCs/>
          <w:sz w:val="12"/>
          <w:szCs w:val="12"/>
        </w:rPr>
        <w:t xml:space="preserve">Modificado por el artículo 14 de la Ley 2094 de 2021. </w:t>
      </w:r>
      <w:r w:rsidRPr="006E5AE5">
        <w:rPr>
          <w:rFonts w:asciiTheme="minorHAnsi" w:eastAsia="Times New Roman" w:hAnsiTheme="minorHAnsi" w:cstheme="minorHAnsi"/>
          <w:iCs/>
          <w:sz w:val="12"/>
          <w:szCs w:val="12"/>
          <w:lang w:eastAsia="es-CO"/>
        </w:rPr>
        <w:t>Modificase el Artículo 93 de la Ley 1952 de 2019, el cual quedará así:</w:t>
      </w:r>
    </w:p>
    <w:p w14:paraId="1549324C"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6E5AE5">
        <w:rPr>
          <w:rStyle w:val="Textoennegrita"/>
          <w:rFonts w:asciiTheme="minorHAnsi" w:hAnsiTheme="minorHAnsi" w:cstheme="minorHAnsi"/>
          <w:iCs/>
          <w:sz w:val="12"/>
          <w:szCs w:val="12"/>
          <w:shd w:val="clear" w:color="auto" w:fill="FFFFFF"/>
        </w:rPr>
        <w:t>ARTÍCULO</w:t>
      </w:r>
      <w:bookmarkStart w:id="2" w:name="93"/>
      <w:bookmarkEnd w:id="2"/>
      <w:r w:rsidRPr="006E5AE5">
        <w:rPr>
          <w:rStyle w:val="Textoennegrita"/>
          <w:rFonts w:asciiTheme="minorHAnsi" w:hAnsiTheme="minorHAnsi" w:cstheme="minorHAnsi"/>
          <w:iCs/>
          <w:sz w:val="12"/>
          <w:szCs w:val="12"/>
          <w:shd w:val="clear" w:color="auto" w:fill="FFFFFF"/>
        </w:rPr>
        <w:t>  93</w:t>
      </w:r>
      <w:r w:rsidRPr="006E5AE5">
        <w:rPr>
          <w:rFonts w:asciiTheme="minorHAnsi" w:hAnsiTheme="minorHAnsi" w:cstheme="minorHAnsi"/>
          <w:iCs/>
          <w:sz w:val="12"/>
          <w:szCs w:val="12"/>
          <w:shd w:val="clear" w:color="auto" w:fill="FFFFFF"/>
        </w:rPr>
        <w:t>. </w:t>
      </w:r>
      <w:r w:rsidRPr="006E5AE5">
        <w:rPr>
          <w:rStyle w:val="Textoennegrita"/>
          <w:rFonts w:asciiTheme="minorHAnsi" w:hAnsiTheme="minorHAnsi" w:cstheme="minorHAnsi"/>
          <w:iCs/>
          <w:sz w:val="12"/>
          <w:szCs w:val="12"/>
          <w:shd w:val="clear" w:color="auto" w:fill="FFFFFF"/>
        </w:rPr>
        <w:t>Control disciplinario interno</w:t>
      </w:r>
      <w:r w:rsidRPr="006E5AE5">
        <w:rPr>
          <w:rFonts w:asciiTheme="minorHAnsi" w:hAnsiTheme="minorHAnsi" w:cstheme="minorHAnsi"/>
          <w:iCs/>
          <w:sz w:val="12"/>
          <w:szCs w:val="12"/>
          <w:shd w:val="clear" w:color="auto" w:fill="FFFFFF"/>
        </w:rPr>
        <w:t>.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341B4A87"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6E5AE5">
        <w:rPr>
          <w:rFonts w:asciiTheme="minorHAnsi" w:hAnsiTheme="minorHAnsi" w:cstheme="minorHAnsi"/>
          <w:iCs/>
          <w:sz w:val="12"/>
          <w:szCs w:val="12"/>
          <w:shd w:val="clear" w:color="auto" w:fill="FFFFFF"/>
        </w:rPr>
        <w:t>Si no fuere posible garantizar la segunda instancia por razones de estructura organizacional, esta será de competencia de la Procuraduría General de la Nación de acuerdo con sus competencias.</w:t>
      </w:r>
    </w:p>
    <w:p w14:paraId="1606EA5F"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6E5AE5">
        <w:rPr>
          <w:rFonts w:asciiTheme="minorHAnsi" w:hAnsiTheme="minorHAnsi" w:cstheme="minorHAnsi"/>
          <w:iCs/>
          <w:sz w:val="12"/>
          <w:szCs w:val="12"/>
          <w:shd w:val="clear" w:color="auto" w:fill="FFFFFF"/>
        </w:rPr>
        <w:t>En aquellas entidades u organismos en donde existan regionales o seccionales, se podrán crear oficinas de control interno del más alto nivel con sus respectivas competencias.</w:t>
      </w:r>
    </w:p>
    <w:p w14:paraId="225A035F"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6E5AE5">
        <w:rPr>
          <w:rFonts w:asciiTheme="minorHAnsi" w:hAnsiTheme="minorHAnsi" w:cstheme="minorHAnsi"/>
          <w:iCs/>
          <w:sz w:val="12"/>
          <w:szCs w:val="12"/>
          <w:shd w:val="clear" w:color="auto" w:fill="FFFFFF"/>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72402A93" w14:textId="77777777" w:rsidR="00C877D4" w:rsidRPr="006E5AE5"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6E5AE5">
        <w:rPr>
          <w:rFonts w:asciiTheme="minorHAnsi" w:hAnsiTheme="minorHAnsi" w:cstheme="minorHAnsi"/>
          <w:iCs/>
          <w:sz w:val="12"/>
          <w:szCs w:val="12"/>
          <w:shd w:val="clear" w:color="auto" w:fill="FFFFFF"/>
        </w:rPr>
        <w:t>El jefe o director del organismo tendrá competencia para ejecutar la sanción.</w:t>
      </w:r>
    </w:p>
  </w:footnote>
  <w:footnote w:id="5">
    <w:p w14:paraId="13AC4CA9" w14:textId="663E946F" w:rsidR="00C877D4" w:rsidRPr="006E5AE5" w:rsidRDefault="00C877D4" w:rsidP="00C877D4">
      <w:pPr>
        <w:pStyle w:val="Textonotapie"/>
        <w:jc w:val="both"/>
        <w:rPr>
          <w:rFonts w:asciiTheme="minorHAnsi" w:hAnsiTheme="minorHAnsi" w:cstheme="minorHAnsi"/>
          <w:iCs/>
          <w:sz w:val="12"/>
          <w:szCs w:val="12"/>
        </w:rPr>
      </w:pPr>
      <w:r w:rsidRPr="006E5AE5">
        <w:rPr>
          <w:rStyle w:val="Refdenotaalpie"/>
          <w:rFonts w:asciiTheme="minorHAnsi" w:hAnsiTheme="minorHAnsi" w:cstheme="minorHAnsi"/>
          <w:iCs/>
          <w:sz w:val="12"/>
          <w:szCs w:val="12"/>
        </w:rPr>
        <w:footnoteRef/>
      </w:r>
      <w:r w:rsidRPr="006E5AE5">
        <w:rPr>
          <w:rFonts w:asciiTheme="minorHAnsi" w:hAnsiTheme="minorHAnsi" w:cstheme="minorHAnsi"/>
          <w:iCs/>
          <w:sz w:val="12"/>
          <w:szCs w:val="12"/>
        </w:rPr>
        <w:t xml:space="preserve"> “</w:t>
      </w:r>
      <w:r w:rsidRPr="006E5AE5">
        <w:rPr>
          <w:rFonts w:asciiTheme="minorHAnsi" w:hAnsiTheme="minorHAnsi" w:cstheme="minorHAnsi"/>
          <w:b/>
          <w:iCs/>
          <w:sz w:val="12"/>
          <w:szCs w:val="12"/>
        </w:rPr>
        <w:t xml:space="preserve">ARTICULO 1: FUNCIONES </w:t>
      </w:r>
      <w:r w:rsidR="006C2FE4" w:rsidRPr="006E5AE5">
        <w:rPr>
          <w:rFonts w:asciiTheme="minorHAnsi" w:hAnsiTheme="minorHAnsi" w:cstheme="minorHAnsi"/>
          <w:b/>
          <w:iCs/>
          <w:sz w:val="12"/>
          <w:szCs w:val="12"/>
        </w:rPr>
        <w:t>DE JUZGAMIENTO</w:t>
      </w:r>
      <w:r w:rsidRPr="006E5AE5">
        <w:rPr>
          <w:rFonts w:asciiTheme="minorHAnsi" w:hAnsiTheme="minorHAnsi" w:cstheme="minorHAnsi"/>
          <w:b/>
          <w:iCs/>
          <w:sz w:val="12"/>
          <w:szCs w:val="12"/>
        </w:rPr>
        <w:t xml:space="preserve">. </w:t>
      </w:r>
      <w:r w:rsidRPr="006E5AE5">
        <w:rPr>
          <w:rFonts w:asciiTheme="minorHAnsi" w:hAnsiTheme="minorHAnsi" w:cstheme="minorHAnsi"/>
          <w:bCs/>
          <w:iCs/>
          <w:sz w:val="12"/>
          <w:szCs w:val="12"/>
        </w:rPr>
        <w:t xml:space="preserve">Asignar a la </w:t>
      </w:r>
      <w:r w:rsidR="006C2FE4" w:rsidRPr="006E5AE5">
        <w:rPr>
          <w:rFonts w:asciiTheme="minorHAnsi" w:hAnsiTheme="minorHAnsi" w:cstheme="minorHAnsi"/>
          <w:bCs/>
          <w:iCs/>
          <w:sz w:val="12"/>
          <w:szCs w:val="12"/>
        </w:rPr>
        <w:t>Dirección de Procesos Judiciales y Administrativos</w:t>
      </w:r>
      <w:r w:rsidRPr="006E5AE5">
        <w:rPr>
          <w:rFonts w:asciiTheme="minorHAnsi" w:hAnsiTheme="minorHAnsi" w:cstheme="minorHAnsi"/>
          <w:bCs/>
          <w:iCs/>
          <w:sz w:val="12"/>
          <w:szCs w:val="12"/>
        </w:rPr>
        <w:t xml:space="preserve"> de Fiduprevisora S.A. las funciones de la etapa </w:t>
      </w:r>
      <w:r w:rsidR="006C2FE4" w:rsidRPr="006E5AE5">
        <w:rPr>
          <w:rFonts w:asciiTheme="minorHAnsi" w:hAnsiTheme="minorHAnsi" w:cstheme="minorHAnsi"/>
          <w:bCs/>
          <w:iCs/>
          <w:sz w:val="12"/>
          <w:szCs w:val="12"/>
        </w:rPr>
        <w:t>de juzgamiento</w:t>
      </w:r>
      <w:r w:rsidRPr="006E5AE5">
        <w:rPr>
          <w:rFonts w:asciiTheme="minorHAnsi" w:hAnsiTheme="minorHAnsi" w:cstheme="minorHAnsi"/>
          <w:bCs/>
          <w:iCs/>
          <w:sz w:val="12"/>
          <w:szCs w:val="12"/>
        </w:rPr>
        <w:t xml:space="preserve"> en la primera instancia en el marco de los procesos disciplinarios que se </w:t>
      </w:r>
      <w:r w:rsidR="006C2FE4" w:rsidRPr="006E5AE5">
        <w:rPr>
          <w:rFonts w:asciiTheme="minorHAnsi" w:hAnsiTheme="minorHAnsi" w:cstheme="minorHAnsi"/>
          <w:bCs/>
          <w:iCs/>
          <w:sz w:val="12"/>
          <w:szCs w:val="12"/>
        </w:rPr>
        <w:t>adelanten respecto de los servidores de la entidad</w:t>
      </w:r>
      <w:r w:rsidRPr="006E5AE5">
        <w:rPr>
          <w:rFonts w:asciiTheme="minorHAnsi" w:hAnsiTheme="minorHAnsi" w:cstheme="minorHAnsi"/>
          <w:bCs/>
          <w:iCs/>
          <w:sz w:val="12"/>
          <w:szCs w:val="12"/>
        </w:rPr>
        <w:t>. Lo anterior, conforme a los principios y disposiciones establecidos en la Constitución Política, disposiciones convencionales, leyes y demás normas que reglen la materia</w:t>
      </w:r>
      <w:r w:rsidRPr="006E5AE5">
        <w:rPr>
          <w:rFonts w:asciiTheme="minorHAnsi" w:hAnsiTheme="minorHAnsi" w:cstheme="minorHAnsi"/>
          <w:iCs/>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FB3E" w14:textId="62E64FCC" w:rsidR="0066608E" w:rsidRDefault="006E5AE5" w:rsidP="00821176">
    <w:pPr>
      <w:pStyle w:val="Encabezado"/>
      <w:tabs>
        <w:tab w:val="clear" w:pos="8838"/>
        <w:tab w:val="right" w:pos="8647"/>
      </w:tabs>
    </w:pPr>
  </w:p>
  <w:p w14:paraId="27018E65" w14:textId="683FBF56" w:rsidR="00A458FA" w:rsidRDefault="0067766F">
    <w:pPr>
      <w:pStyle w:val="Encabezado"/>
    </w:pPr>
    <w:r>
      <w:t xml:space="preserve">                   </w:t>
    </w:r>
  </w:p>
  <w:tbl>
    <w:tblPr>
      <w:tblW w:w="8789" w:type="dxa"/>
      <w:tblInd w:w="-147" w:type="dxa"/>
      <w:tblCellMar>
        <w:left w:w="70" w:type="dxa"/>
        <w:right w:w="70" w:type="dxa"/>
      </w:tblCellMar>
      <w:tblLook w:val="04A0" w:firstRow="1" w:lastRow="0" w:firstColumn="1" w:lastColumn="0" w:noHBand="0" w:noVBand="1"/>
    </w:tblPr>
    <w:tblGrid>
      <w:gridCol w:w="2081"/>
      <w:gridCol w:w="3221"/>
      <w:gridCol w:w="3487"/>
    </w:tblGrid>
    <w:tr w:rsidR="00A458FA" w:rsidRPr="00A26830" w14:paraId="598F1B33" w14:textId="77777777" w:rsidTr="00821176">
      <w:trPr>
        <w:trHeight w:val="300"/>
      </w:trPr>
      <w:tc>
        <w:tcPr>
          <w:tcW w:w="20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7B36" w14:textId="1171A50E" w:rsidR="00A458FA" w:rsidRPr="00A26830" w:rsidRDefault="00A458FA" w:rsidP="00821176">
          <w:pPr>
            <w:spacing w:after="0" w:line="240" w:lineRule="auto"/>
            <w:rPr>
              <w:rFonts w:eastAsia="Times New Roman" w:cs="Calibri"/>
              <w:color w:val="000000"/>
              <w:lang w:eastAsia="es-CO"/>
            </w:rPr>
          </w:pPr>
          <w:r w:rsidRPr="00A26830">
            <w:rPr>
              <w:rFonts w:eastAsia="Times New Roman" w:cs="Calibri"/>
              <w:noProof/>
              <w:color w:val="000000"/>
              <w:lang w:eastAsia="es-CO"/>
            </w:rPr>
            <w:drawing>
              <wp:anchor distT="0" distB="0" distL="114300" distR="114300" simplePos="0" relativeHeight="251660800" behindDoc="0" locked="0" layoutInCell="1" allowOverlap="1" wp14:anchorId="0D12BAC1" wp14:editId="7EC4D568">
                <wp:simplePos x="0" y="0"/>
                <wp:positionH relativeFrom="column">
                  <wp:posOffset>48895</wp:posOffset>
                </wp:positionH>
                <wp:positionV relativeFrom="paragraph">
                  <wp:posOffset>-356870</wp:posOffset>
                </wp:positionV>
                <wp:extent cx="1181100" cy="475615"/>
                <wp:effectExtent l="0" t="0" r="0" b="635"/>
                <wp:wrapNone/>
                <wp:docPr id="46" name="Imagen 46" descr="Patrón de fondo&#10;&#10;Descripción generada automáticamente con confianza baja">
                  <a:extLst xmlns:a="http://schemas.openxmlformats.org/drawingml/2006/main">
                    <a:ext uri="{FF2B5EF4-FFF2-40B4-BE49-F238E27FC236}">
                      <a16:creationId xmlns:a16="http://schemas.microsoft.com/office/drawing/2014/main" id="{749EE144-0C00-87AB-18C9-A644200F49CA}"/>
                    </a:ext>
                  </a:extLst>
                </wp:docPr>
                <wp:cNvGraphicFramePr/>
                <a:graphic xmlns:a="http://schemas.openxmlformats.org/drawingml/2006/main">
                  <a:graphicData uri="http://schemas.openxmlformats.org/drawingml/2006/picture">
                    <pic:pic xmlns:pic="http://schemas.openxmlformats.org/drawingml/2006/picture">
                      <pic:nvPicPr>
                        <pic:cNvPr id="2057" name="Imagen 3" descr="Patrón de fondo&#10;&#10;Descripción generada automáticamente con confianza baja">
                          <a:extLst>
                            <a:ext uri="{FF2B5EF4-FFF2-40B4-BE49-F238E27FC236}">
                              <a16:creationId xmlns:a16="http://schemas.microsoft.com/office/drawing/2014/main" id="{749EE144-0C00-87AB-18C9-A644200F49C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89" t="9863" r="71184" b="12946"/>
                        <a:stretch>
                          <a:fillRect/>
                        </a:stretch>
                      </pic:blipFill>
                      <pic:spPr bwMode="auto">
                        <a:xfrm>
                          <a:off x="0" y="0"/>
                          <a:ext cx="118110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97A121" w14:textId="16F5EB99" w:rsidR="00A458FA" w:rsidRPr="00A26830" w:rsidRDefault="007B4160" w:rsidP="00A458FA">
          <w:pPr>
            <w:spacing w:after="0" w:line="240" w:lineRule="auto"/>
            <w:jc w:val="center"/>
            <w:rPr>
              <w:rFonts w:ascii="Verdana" w:eastAsia="Times New Roman" w:hAnsi="Verdana" w:cs="Calibri"/>
              <w:b/>
              <w:bCs/>
              <w:color w:val="000000"/>
              <w:sz w:val="16"/>
              <w:szCs w:val="16"/>
              <w:lang w:eastAsia="es-CO"/>
            </w:rPr>
          </w:pPr>
          <w:r w:rsidRPr="007B4160">
            <w:rPr>
              <w:rFonts w:ascii="Verdana" w:eastAsia="Times New Roman" w:hAnsi="Verdana" w:cs="Calibri"/>
              <w:b/>
              <w:bCs/>
              <w:color w:val="000000"/>
              <w:sz w:val="16"/>
              <w:szCs w:val="16"/>
              <w:lang w:eastAsia="es-CO"/>
            </w:rPr>
            <w:t>AUTO ALEGATOS DE CONCLUSIÓN</w:t>
          </w: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770D7003" w14:textId="74151123"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VERSIÓN: </w:t>
          </w:r>
          <w:r w:rsidR="009E63B8">
            <w:rPr>
              <w:rFonts w:ascii="Verdana" w:eastAsia="Times New Roman" w:hAnsi="Verdana" w:cs="Calibri"/>
              <w:b/>
              <w:bCs/>
              <w:color w:val="000000"/>
              <w:sz w:val="16"/>
              <w:szCs w:val="16"/>
              <w:lang w:eastAsia="es-CO"/>
            </w:rPr>
            <w:t>0</w:t>
          </w:r>
        </w:p>
      </w:tc>
    </w:tr>
    <w:tr w:rsidR="00A458FA" w:rsidRPr="00A26830" w14:paraId="23B4C048" w14:textId="77777777" w:rsidTr="00821176">
      <w:trPr>
        <w:trHeight w:val="300"/>
      </w:trPr>
      <w:tc>
        <w:tcPr>
          <w:tcW w:w="2081" w:type="dxa"/>
          <w:vMerge/>
          <w:tcBorders>
            <w:top w:val="single" w:sz="4" w:space="0" w:color="auto"/>
            <w:left w:val="single" w:sz="4" w:space="0" w:color="auto"/>
            <w:bottom w:val="single" w:sz="4" w:space="0" w:color="auto"/>
            <w:right w:val="nil"/>
          </w:tcBorders>
          <w:vAlign w:val="center"/>
          <w:hideMark/>
        </w:tcPr>
        <w:p w14:paraId="621353F5" w14:textId="77777777" w:rsidR="00A458FA" w:rsidRPr="00A26830" w:rsidRDefault="00A458FA" w:rsidP="00A458FA">
          <w:pPr>
            <w:spacing w:after="0" w:line="240" w:lineRule="auto"/>
            <w:rPr>
              <w:rFonts w:eastAsia="Times New Roman" w:cs="Calibri"/>
              <w:color w:val="000000"/>
              <w:lang w:eastAsia="es-CO"/>
            </w:rPr>
          </w:pPr>
        </w:p>
      </w:tc>
      <w:tc>
        <w:tcPr>
          <w:tcW w:w="3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88D571" w14:textId="77777777"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CONTROL DISCIPLINARIO</w:t>
          </w: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0E71180F" w14:textId="49DCFCC0"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CÓDIGO: </w:t>
          </w:r>
          <w:r>
            <w:rPr>
              <w:rFonts w:ascii="Verdana" w:eastAsia="Times New Roman" w:hAnsi="Verdana" w:cs="Calibri"/>
              <w:b/>
              <w:bCs/>
              <w:color w:val="000000"/>
              <w:sz w:val="16"/>
              <w:szCs w:val="16"/>
              <w:lang w:eastAsia="es-CO"/>
            </w:rPr>
            <w:t>FR</w:t>
          </w:r>
          <w:r w:rsidRPr="00A26830">
            <w:rPr>
              <w:rFonts w:ascii="Verdana" w:eastAsia="Times New Roman" w:hAnsi="Verdana" w:cs="Calibri"/>
              <w:b/>
              <w:bCs/>
              <w:color w:val="000000"/>
              <w:sz w:val="16"/>
              <w:szCs w:val="16"/>
              <w:lang w:eastAsia="es-CO"/>
            </w:rPr>
            <w:t>-ESC-07-</w:t>
          </w:r>
          <w:r w:rsidR="00B01603">
            <w:rPr>
              <w:rFonts w:ascii="Verdana" w:eastAsia="Times New Roman" w:hAnsi="Verdana" w:cs="Calibri"/>
              <w:b/>
              <w:bCs/>
              <w:color w:val="000000"/>
              <w:sz w:val="16"/>
              <w:szCs w:val="16"/>
              <w:lang w:eastAsia="es-CO"/>
            </w:rPr>
            <w:t>011</w:t>
          </w:r>
        </w:p>
      </w:tc>
    </w:tr>
    <w:tr w:rsidR="00A458FA" w:rsidRPr="00A26830" w14:paraId="64C8F959" w14:textId="77777777" w:rsidTr="00821176">
      <w:trPr>
        <w:trHeight w:val="255"/>
      </w:trPr>
      <w:tc>
        <w:tcPr>
          <w:tcW w:w="2081" w:type="dxa"/>
          <w:vMerge/>
          <w:tcBorders>
            <w:top w:val="single" w:sz="4" w:space="0" w:color="auto"/>
            <w:left w:val="single" w:sz="4" w:space="0" w:color="auto"/>
            <w:bottom w:val="single" w:sz="4" w:space="0" w:color="auto"/>
            <w:right w:val="nil"/>
          </w:tcBorders>
          <w:vAlign w:val="center"/>
          <w:hideMark/>
        </w:tcPr>
        <w:p w14:paraId="684152E9" w14:textId="77777777" w:rsidR="00A458FA" w:rsidRPr="00A26830" w:rsidRDefault="00A458FA" w:rsidP="00A458FA">
          <w:pPr>
            <w:spacing w:after="0" w:line="240" w:lineRule="auto"/>
            <w:rPr>
              <w:rFonts w:eastAsia="Times New Roman" w:cs="Calibri"/>
              <w:color w:val="000000"/>
              <w:lang w:eastAsia="es-CO"/>
            </w:rPr>
          </w:pPr>
        </w:p>
      </w:tc>
      <w:tc>
        <w:tcPr>
          <w:tcW w:w="3221" w:type="dxa"/>
          <w:vMerge/>
          <w:tcBorders>
            <w:top w:val="single" w:sz="4" w:space="0" w:color="auto"/>
            <w:left w:val="single" w:sz="4" w:space="0" w:color="auto"/>
            <w:bottom w:val="single" w:sz="4" w:space="0" w:color="000000"/>
            <w:right w:val="single" w:sz="4" w:space="0" w:color="000000"/>
          </w:tcBorders>
          <w:vAlign w:val="center"/>
          <w:hideMark/>
        </w:tcPr>
        <w:p w14:paraId="2D169CCC" w14:textId="77777777" w:rsidR="00A458FA" w:rsidRPr="00A26830" w:rsidRDefault="00A458FA" w:rsidP="00A458FA">
          <w:pPr>
            <w:spacing w:after="0" w:line="240" w:lineRule="auto"/>
            <w:rPr>
              <w:rFonts w:ascii="Verdana" w:eastAsia="Times New Roman" w:hAnsi="Verdana" w:cs="Calibri"/>
              <w:b/>
              <w:bCs/>
              <w:color w:val="000000"/>
              <w:sz w:val="16"/>
              <w:szCs w:val="16"/>
              <w:lang w:eastAsia="es-CO"/>
            </w:rPr>
          </w:pP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578A0404" w14:textId="5B6D604A"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FECHA:</w:t>
          </w:r>
          <w:r w:rsidR="006E5AE5">
            <w:rPr>
              <w:rFonts w:ascii="Verdana" w:eastAsia="Times New Roman" w:hAnsi="Verdana" w:cs="Calibri"/>
              <w:b/>
              <w:bCs/>
              <w:color w:val="000000"/>
              <w:sz w:val="16"/>
              <w:szCs w:val="16"/>
              <w:lang w:eastAsia="es-CO"/>
            </w:rPr>
            <w:t xml:space="preserve"> 15-sep-202</w:t>
          </w:r>
        </w:p>
      </w:tc>
    </w:tr>
  </w:tbl>
  <w:p w14:paraId="2EC32EF3" w14:textId="6FDFCF90" w:rsidR="0066608E" w:rsidRDefault="006E5AE5" w:rsidP="00821176">
    <w:pPr>
      <w:pStyle w:val="Encabezado"/>
    </w:pPr>
  </w:p>
  <w:p w14:paraId="1A353BB9" w14:textId="77777777" w:rsidR="006E5AE5" w:rsidRPr="00CA5E1E" w:rsidRDefault="006E5AE5" w:rsidP="006E5AE5">
    <w:pPr>
      <w:spacing w:after="0" w:line="240" w:lineRule="auto"/>
      <w:jc w:val="center"/>
      <w:rPr>
        <w:rFonts w:asciiTheme="minorHAnsi" w:hAnsiTheme="minorHAnsi" w:cstheme="minorHAnsi"/>
        <w:b/>
      </w:rPr>
    </w:pPr>
    <w:r w:rsidRPr="00CA5E1E">
      <w:rPr>
        <w:rFonts w:asciiTheme="minorHAnsi" w:hAnsiTheme="minorHAnsi" w:cstheme="minorHAnsi"/>
        <w:b/>
      </w:rPr>
      <w:t>FIDUCIARIA LA PREVISORA S.A.</w:t>
    </w:r>
  </w:p>
  <w:p w14:paraId="0740E6ED" w14:textId="77777777" w:rsidR="006E5AE5" w:rsidRPr="00CA5E1E" w:rsidRDefault="006E5AE5" w:rsidP="006E5AE5">
    <w:pPr>
      <w:pStyle w:val="Sinespaciado"/>
      <w:jc w:val="center"/>
      <w:rPr>
        <w:rFonts w:asciiTheme="minorHAnsi" w:hAnsiTheme="minorHAnsi" w:cstheme="minorHAnsi"/>
        <w:b/>
      </w:rPr>
    </w:pPr>
    <w:r w:rsidRPr="00CA5E1E">
      <w:rPr>
        <w:rFonts w:asciiTheme="minorHAnsi" w:hAnsiTheme="minorHAnsi" w:cstheme="minorHAnsi"/>
        <w:b/>
      </w:rPr>
      <w:t xml:space="preserve">AUTO No. </w:t>
    </w:r>
  </w:p>
  <w:p w14:paraId="5FE7C6D8" w14:textId="77777777" w:rsidR="006E5AE5" w:rsidRPr="00CA5E1E" w:rsidRDefault="006E5AE5" w:rsidP="006E5AE5">
    <w:pPr>
      <w:spacing w:after="0" w:line="240" w:lineRule="auto"/>
      <w:jc w:val="center"/>
      <w:rPr>
        <w:rFonts w:asciiTheme="minorHAnsi" w:hAnsiTheme="minorHAnsi" w:cstheme="minorHAnsi"/>
        <w:b/>
      </w:rPr>
    </w:pPr>
  </w:p>
  <w:tbl>
    <w:tblPr>
      <w:tblW w:w="8789" w:type="dxa"/>
      <w:tblInd w:w="-5" w:type="dxa"/>
      <w:tblCellMar>
        <w:left w:w="10" w:type="dxa"/>
        <w:right w:w="10" w:type="dxa"/>
      </w:tblCellMar>
      <w:tblLook w:val="04A0" w:firstRow="1" w:lastRow="0" w:firstColumn="1" w:lastColumn="0" w:noHBand="0" w:noVBand="1"/>
    </w:tblPr>
    <w:tblGrid>
      <w:gridCol w:w="8789"/>
    </w:tblGrid>
    <w:tr w:rsidR="006E5AE5" w:rsidRPr="00CA5E1E" w14:paraId="0E763B29" w14:textId="77777777" w:rsidTr="0017292E">
      <w:trPr>
        <w:trHeight w:val="1744"/>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47E0" w14:textId="77777777" w:rsidR="006E5AE5" w:rsidRPr="00CA5E1E" w:rsidRDefault="006E5AE5" w:rsidP="006E5AE5">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Proceso No.:</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lang w:val="es-ES_tradnl" w:eastAsia="es-ES"/>
            </w:rPr>
            <w:t>20 ___- 00 - 000</w:t>
          </w:r>
        </w:p>
        <w:p w14:paraId="5A063C6F" w14:textId="77777777" w:rsidR="006E5AE5" w:rsidRPr="00CA5E1E" w:rsidRDefault="006E5AE5" w:rsidP="006E5AE5">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Disciplinado:</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Pr>
              <w:rFonts w:asciiTheme="minorHAnsi" w:eastAsia="Times New Roman" w:hAnsiTheme="minorHAnsi" w:cstheme="minorHAnsi"/>
              <w:b/>
              <w:lang w:val="es-ES_tradnl" w:eastAsia="es-ES"/>
            </w:rPr>
            <w:t>NOMBRE DEL INVESTIGADO</w:t>
          </w:r>
        </w:p>
        <w:p w14:paraId="3C4942EB" w14:textId="77777777" w:rsidR="006E5AE5" w:rsidRPr="00CA5E1E" w:rsidRDefault="006E5AE5" w:rsidP="006E5AE5">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 xml:space="preserve">Quejoso/Informante:   </w:t>
          </w:r>
          <w:r w:rsidRPr="00CA5E1E">
            <w:rPr>
              <w:rFonts w:asciiTheme="minorHAnsi" w:eastAsia="Times New Roman" w:hAnsiTheme="minorHAnsi" w:cstheme="minorHAnsi"/>
              <w:lang w:val="es-ES_tradnl" w:eastAsia="es-ES"/>
            </w:rPr>
            <w:t xml:space="preserve"> Persona natural o Jurídica </w:t>
          </w:r>
        </w:p>
        <w:p w14:paraId="61990DFB" w14:textId="77777777" w:rsidR="006E5AE5" w:rsidRPr="00CA5E1E" w:rsidRDefault="006E5AE5" w:rsidP="006E5AE5">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Queja:</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lang w:val="es-ES_tradnl" w:eastAsia="es-ES"/>
            </w:rPr>
            <w:t xml:space="preserve"> Día / Mes/ Año</w:t>
          </w:r>
        </w:p>
        <w:p w14:paraId="47BA4381" w14:textId="77777777" w:rsidR="006E5AE5" w:rsidRPr="00CA5E1E" w:rsidRDefault="006E5AE5" w:rsidP="006E5AE5">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Hechos:</w:t>
          </w:r>
          <w:r w:rsidRPr="00CA5E1E">
            <w:rPr>
              <w:rFonts w:asciiTheme="minorHAnsi" w:eastAsia="Times New Roman" w:hAnsiTheme="minorHAnsi" w:cstheme="minorHAnsi"/>
              <w:b/>
              <w:lang w:val="es-ES_tradnl" w:eastAsia="es-ES"/>
            </w:rPr>
            <w:tab/>
            <w:t xml:space="preserve">               </w:t>
          </w:r>
          <w:r w:rsidRPr="00CA5E1E">
            <w:rPr>
              <w:rFonts w:asciiTheme="minorHAnsi" w:eastAsia="Times New Roman" w:hAnsiTheme="minorHAnsi" w:cstheme="minorHAnsi"/>
              <w:lang w:val="es-ES_tradnl" w:eastAsia="es-ES"/>
            </w:rPr>
            <w:t>Día / Mes/ Año</w:t>
          </w:r>
        </w:p>
        <w:p w14:paraId="4FBC863A" w14:textId="77777777" w:rsidR="006E5AE5" w:rsidRPr="00CA5E1E" w:rsidRDefault="006E5AE5" w:rsidP="006E5AE5">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del Auto:</w:t>
          </w:r>
          <w:r w:rsidRPr="00CA5E1E">
            <w:rPr>
              <w:rFonts w:asciiTheme="minorHAnsi" w:eastAsia="Times New Roman" w:hAnsiTheme="minorHAnsi" w:cstheme="minorHAnsi"/>
              <w:lang w:val="es-ES_tradnl" w:eastAsia="es-ES"/>
            </w:rPr>
            <w:t xml:space="preserve">               Día/ Mes / Año</w:t>
          </w:r>
        </w:p>
      </w:tc>
    </w:tr>
  </w:tbl>
  <w:p w14:paraId="782ABA2D" w14:textId="77777777" w:rsidR="006E5AE5" w:rsidRDefault="006E5AE5" w:rsidP="008211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48"/>
    <w:multiLevelType w:val="multilevel"/>
    <w:tmpl w:val="AB4E65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E3696C"/>
    <w:multiLevelType w:val="hybridMultilevel"/>
    <w:tmpl w:val="CEB6C9CC"/>
    <w:lvl w:ilvl="0" w:tplc="3C9809F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36D7B"/>
    <w:multiLevelType w:val="multilevel"/>
    <w:tmpl w:val="908A9B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A24EB5"/>
    <w:multiLevelType w:val="multilevel"/>
    <w:tmpl w:val="81A2A504"/>
    <w:lvl w:ilvl="0">
      <w:start w:val="1"/>
      <w:numFmt w:val="decimal"/>
      <w:lvlText w:val="%1"/>
      <w:lvlJc w:val="left"/>
      <w:pPr>
        <w:ind w:left="360" w:hanging="360"/>
      </w:pPr>
    </w:lvl>
    <w:lvl w:ilvl="1">
      <w:start w:val="1"/>
      <w:numFmt w:val="decimal"/>
      <w:lvlText w:val="%1.%2"/>
      <w:lvlJc w:val="left"/>
      <w:pPr>
        <w:ind w:left="234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D6C135D"/>
    <w:multiLevelType w:val="multilevel"/>
    <w:tmpl w:val="2E4ED4F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E07B35"/>
    <w:multiLevelType w:val="hybridMultilevel"/>
    <w:tmpl w:val="1D92F43C"/>
    <w:lvl w:ilvl="0" w:tplc="339EB24C">
      <w:start w:val="1"/>
      <w:numFmt w:val="lowerLetter"/>
      <w:lvlText w:val="%1)"/>
      <w:lvlJc w:val="left"/>
      <w:pPr>
        <w:ind w:left="720" w:hanging="360"/>
      </w:pPr>
      <w:rPr>
        <w:b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E3ABE"/>
    <w:multiLevelType w:val="multilevel"/>
    <w:tmpl w:val="361C423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B2E62"/>
    <w:multiLevelType w:val="multilevel"/>
    <w:tmpl w:val="CFA0BF0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F9454A"/>
    <w:multiLevelType w:val="multilevel"/>
    <w:tmpl w:val="EAB6FC3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5CF4EEB"/>
    <w:multiLevelType w:val="multilevel"/>
    <w:tmpl w:val="82A0A8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127C93"/>
    <w:multiLevelType w:val="multilevel"/>
    <w:tmpl w:val="DF5682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A1489D"/>
    <w:multiLevelType w:val="multilevel"/>
    <w:tmpl w:val="EA3E027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1411CAC"/>
    <w:multiLevelType w:val="multilevel"/>
    <w:tmpl w:val="3BE4E5A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4CA342E"/>
    <w:multiLevelType w:val="multilevel"/>
    <w:tmpl w:val="2C400CF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F83B68"/>
    <w:multiLevelType w:val="multilevel"/>
    <w:tmpl w:val="755E2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F15D5"/>
    <w:multiLevelType w:val="multilevel"/>
    <w:tmpl w:val="EA848ACC"/>
    <w:lvl w:ilvl="0">
      <w:start w:val="1"/>
      <w:numFmt w:val="decimal"/>
      <w:lvlText w:val="%1."/>
      <w:lvlJc w:val="left"/>
      <w:pPr>
        <w:ind w:left="720" w:hanging="360"/>
      </w:pPr>
      <w:rPr>
        <w:rFonts w:hint="default"/>
        <w:b/>
      </w:rPr>
    </w:lvl>
    <w:lvl w:ilvl="1">
      <w:start w:val="1"/>
      <w:numFmt w:val="decimal"/>
      <w:isLgl/>
      <w:lvlText w:val="%1.%2."/>
      <w:lvlJc w:val="left"/>
      <w:pPr>
        <w:ind w:left="3480" w:hanging="360"/>
      </w:pPr>
      <w:rPr>
        <w:rFonts w:hint="default"/>
        <w:b/>
        <w:bCs/>
        <w:i w:val="0"/>
      </w:rPr>
    </w:lvl>
    <w:lvl w:ilvl="2">
      <w:start w:val="1"/>
      <w:numFmt w:val="decimal"/>
      <w:isLgl/>
      <w:lvlText w:val="%1.%2.%3."/>
      <w:lvlJc w:val="left"/>
      <w:pPr>
        <w:ind w:left="1288"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4021897">
    <w:abstractNumId w:val="14"/>
  </w:num>
  <w:num w:numId="2" w16cid:durableId="2056005210">
    <w:abstractNumId w:val="3"/>
  </w:num>
  <w:num w:numId="3" w16cid:durableId="477527931">
    <w:abstractNumId w:val="2"/>
  </w:num>
  <w:num w:numId="4" w16cid:durableId="1766461469">
    <w:abstractNumId w:val="10"/>
  </w:num>
  <w:num w:numId="5" w16cid:durableId="263735178">
    <w:abstractNumId w:val="11"/>
  </w:num>
  <w:num w:numId="6" w16cid:durableId="668217109">
    <w:abstractNumId w:val="4"/>
  </w:num>
  <w:num w:numId="7" w16cid:durableId="178853473">
    <w:abstractNumId w:val="12"/>
  </w:num>
  <w:num w:numId="8" w16cid:durableId="1176306197">
    <w:abstractNumId w:val="13"/>
  </w:num>
  <w:num w:numId="9" w16cid:durableId="922836358">
    <w:abstractNumId w:val="7"/>
  </w:num>
  <w:num w:numId="10" w16cid:durableId="99692900">
    <w:abstractNumId w:val="0"/>
  </w:num>
  <w:num w:numId="11" w16cid:durableId="10105604">
    <w:abstractNumId w:val="8"/>
  </w:num>
  <w:num w:numId="12" w16cid:durableId="1314141756">
    <w:abstractNumId w:val="15"/>
  </w:num>
  <w:num w:numId="13" w16cid:durableId="525020963">
    <w:abstractNumId w:val="5"/>
  </w:num>
  <w:num w:numId="14" w16cid:durableId="318198750">
    <w:abstractNumId w:val="9"/>
  </w:num>
  <w:num w:numId="15" w16cid:durableId="626543646">
    <w:abstractNumId w:val="6"/>
  </w:num>
  <w:num w:numId="16" w16cid:durableId="47048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7"/>
    <w:rsid w:val="00000976"/>
    <w:rsid w:val="000B573C"/>
    <w:rsid w:val="000C764E"/>
    <w:rsid w:val="0011604C"/>
    <w:rsid w:val="001614B1"/>
    <w:rsid w:val="001A0CE5"/>
    <w:rsid w:val="0032218E"/>
    <w:rsid w:val="00337272"/>
    <w:rsid w:val="003B1F19"/>
    <w:rsid w:val="00437CC7"/>
    <w:rsid w:val="004576CD"/>
    <w:rsid w:val="00537DDB"/>
    <w:rsid w:val="00567929"/>
    <w:rsid w:val="00627173"/>
    <w:rsid w:val="0066732A"/>
    <w:rsid w:val="0067766F"/>
    <w:rsid w:val="006C2FE4"/>
    <w:rsid w:val="006E5AE5"/>
    <w:rsid w:val="00723058"/>
    <w:rsid w:val="007B4160"/>
    <w:rsid w:val="00821176"/>
    <w:rsid w:val="00860220"/>
    <w:rsid w:val="008951CC"/>
    <w:rsid w:val="00917280"/>
    <w:rsid w:val="009B2EB7"/>
    <w:rsid w:val="009C30CD"/>
    <w:rsid w:val="009E63B8"/>
    <w:rsid w:val="00A12E0C"/>
    <w:rsid w:val="00A458FA"/>
    <w:rsid w:val="00A53908"/>
    <w:rsid w:val="00AD2510"/>
    <w:rsid w:val="00AE7FA2"/>
    <w:rsid w:val="00B01603"/>
    <w:rsid w:val="00B13982"/>
    <w:rsid w:val="00B97E2B"/>
    <w:rsid w:val="00BB5A2E"/>
    <w:rsid w:val="00C401E9"/>
    <w:rsid w:val="00C55902"/>
    <w:rsid w:val="00C877D4"/>
    <w:rsid w:val="00C904EE"/>
    <w:rsid w:val="00CA5E1E"/>
    <w:rsid w:val="00CB2CE7"/>
    <w:rsid w:val="00D53F38"/>
    <w:rsid w:val="00DC17AD"/>
    <w:rsid w:val="00EB5100"/>
    <w:rsid w:val="00FD6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63C241"/>
  <w15:docId w15:val="{69F94811-B070-44DE-8131-0CDFB4D8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basedOn w:val="Normal"/>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styleId="Sinespaciado">
    <w:name w:val="No Spacing"/>
    <w:pPr>
      <w:suppressAutoHyphens/>
    </w:pPr>
    <w:rPr>
      <w:sz w:val="22"/>
      <w:szCs w:val="22"/>
      <w:lang w:eastAsia="en-US"/>
    </w:rPr>
  </w:style>
  <w:style w:type="paragraph" w:styleId="Textoindependiente">
    <w:name w:val="Body Text"/>
    <w:basedOn w:val="Normal"/>
    <w:pPr>
      <w:suppressAutoHyphens w:val="0"/>
      <w:spacing w:after="0" w:line="240" w:lineRule="auto"/>
      <w:jc w:val="both"/>
      <w:textAlignment w:val="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rPr>
      <w:rFonts w:ascii="Times New Roman" w:eastAsia="Times New Roman" w:hAnsi="Times New Roman"/>
      <w:sz w:val="24"/>
      <w:szCs w:val="24"/>
      <w:lang w:eastAsia="es-E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lang w:eastAsia="en-US"/>
    </w:rPr>
  </w:style>
  <w:style w:type="character" w:styleId="Refdenotaalpie">
    <w:name w:val="footnote reference"/>
    <w:rPr>
      <w:position w:val="0"/>
      <w:vertAlign w:val="superscript"/>
    </w:rPr>
  </w:style>
  <w:style w:type="paragraph" w:styleId="NormalWeb">
    <w:name w:val="Normal (Web)"/>
    <w:basedOn w:val="Normal"/>
    <w:uiPriority w:val="99"/>
    <w:pPr>
      <w:suppressAutoHyphens w:val="0"/>
      <w:spacing w:after="0" w:line="240" w:lineRule="auto"/>
      <w:textAlignment w:val="auto"/>
    </w:pPr>
    <w:rPr>
      <w:rFonts w:ascii="Times New Roman" w:hAnsi="Times New Roman"/>
      <w:sz w:val="24"/>
      <w:szCs w:val="24"/>
      <w:lang w:eastAsia="es-CO"/>
    </w:rPr>
  </w:style>
  <w:style w:type="character" w:styleId="Textoennegrita">
    <w:name w:val="Strong"/>
    <w:basedOn w:val="Fuentedeprrafopredeter"/>
    <w:uiPriority w:val="22"/>
    <w:qFormat/>
    <w:rsid w:val="00C87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9718">
      <w:bodyDiv w:val="1"/>
      <w:marLeft w:val="0"/>
      <w:marRight w:val="0"/>
      <w:marTop w:val="0"/>
      <w:marBottom w:val="0"/>
      <w:divBdr>
        <w:top w:val="none" w:sz="0" w:space="0" w:color="auto"/>
        <w:left w:val="none" w:sz="0" w:space="0" w:color="auto"/>
        <w:bottom w:val="none" w:sz="0" w:space="0" w:color="auto"/>
        <w:right w:val="none" w:sz="0" w:space="0" w:color="auto"/>
      </w:divBdr>
    </w:div>
    <w:div w:id="577902003">
      <w:bodyDiv w:val="1"/>
      <w:marLeft w:val="0"/>
      <w:marRight w:val="0"/>
      <w:marTop w:val="0"/>
      <w:marBottom w:val="0"/>
      <w:divBdr>
        <w:top w:val="none" w:sz="0" w:space="0" w:color="auto"/>
        <w:left w:val="none" w:sz="0" w:space="0" w:color="auto"/>
        <w:bottom w:val="none" w:sz="0" w:space="0" w:color="auto"/>
        <w:right w:val="none" w:sz="0" w:space="0" w:color="auto"/>
      </w:divBdr>
    </w:div>
    <w:div w:id="967973787">
      <w:bodyDiv w:val="1"/>
      <w:marLeft w:val="0"/>
      <w:marRight w:val="0"/>
      <w:marTop w:val="0"/>
      <w:marBottom w:val="0"/>
      <w:divBdr>
        <w:top w:val="none" w:sz="0" w:space="0" w:color="auto"/>
        <w:left w:val="none" w:sz="0" w:space="0" w:color="auto"/>
        <w:bottom w:val="none" w:sz="0" w:space="0" w:color="auto"/>
        <w:right w:val="none" w:sz="0" w:space="0" w:color="auto"/>
      </w:divBdr>
    </w:div>
    <w:div w:id="1042483322">
      <w:bodyDiv w:val="1"/>
      <w:marLeft w:val="0"/>
      <w:marRight w:val="0"/>
      <w:marTop w:val="0"/>
      <w:marBottom w:val="0"/>
      <w:divBdr>
        <w:top w:val="none" w:sz="0" w:space="0" w:color="auto"/>
        <w:left w:val="none" w:sz="0" w:space="0" w:color="auto"/>
        <w:bottom w:val="none" w:sz="0" w:space="0" w:color="auto"/>
        <w:right w:val="none" w:sz="0" w:space="0" w:color="auto"/>
      </w:divBdr>
    </w:div>
    <w:div w:id="1539929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4125" TargetMode="External"/><Relationship Id="rId1" Type="http://schemas.openxmlformats.org/officeDocument/2006/relationships/hyperlink" Target="https://www.funcionpublica.gov.co/eva/gestornormativo/norma.php?i=90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374</Words>
  <Characters>2062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RODRIGUEZ RICO RICHARD ALEXANDER</cp:lastModifiedBy>
  <cp:revision>8</cp:revision>
  <cp:lastPrinted>2018-11-07T15:20:00Z</cp:lastPrinted>
  <dcterms:created xsi:type="dcterms:W3CDTF">2022-08-31T21:36:00Z</dcterms:created>
  <dcterms:modified xsi:type="dcterms:W3CDTF">2023-02-10T19:56:00Z</dcterms:modified>
</cp:coreProperties>
</file>